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嘉麻市農業委員会「農地等の利用の最適化の推進に関する指針」</w:t>
      </w:r>
    </w:p>
    <w:p>
      <w:pPr>
        <w:pStyle w:val="Normal"/>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Normal"/>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Ⅰ</w:t>
      </w:r>
      <w:r>
        <w:rPr>
          <w:rFonts w:ascii="ＭＳ ゴシック" w:hAnsi="ＭＳ ゴシック" w:eastAsia="ＭＳ ゴシック" w:asciiTheme="majorEastAsia" w:eastAsiaTheme="majorEastAsia" w:hAnsiTheme="majorEastAsia"/>
          <w:sz w:val="24"/>
          <w:szCs w:val="24"/>
        </w:rPr>
        <w:t>　基本的な考え方</w:t>
      </w:r>
    </w:p>
    <w:p>
      <w:pPr>
        <w:pStyle w:val="Normal"/>
        <w:spacing w:before="120" w:after="0"/>
        <w:ind w:left="210"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農業委員会等に関する法律（昭和２６年法律第８８号。以下「法」という。）の改正法が平成２８年４月１日に施行され、農業委員会においては「農地等の利用の最適化の推進」が最も重要な必須業務として明確に位置づけられた。</w:t>
      </w:r>
    </w:p>
    <w:p>
      <w:pPr>
        <w:pStyle w:val="Normal"/>
        <w:ind w:left="210"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嘉麻市においては平地と中山間地域があり、それぞれの地域によって農地の利用状況や営農類型が異なっており、地域の実態に応じた取り組みを推進し、それに向けた対策の強化を図ることが求められている。</w:t>
      </w:r>
    </w:p>
    <w:p>
      <w:pPr>
        <w:pStyle w:val="Normal"/>
        <w:ind w:left="210"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特に中山間地域では基盤整備のされていない区画・形状の悪い圃場等が多く、シカ・イノシシなどの獣害の影響により農地の遊休化に拍車をかけていることから、その発生防止や解消、適切な土地利用に努めていく一方、平地では土地利用型の稲作等が盛んなことから、担い手への農地利用の集積・集約化を図るため、「地域計画」（農業経営基盤強化促進法等の一部を改正する法律案（令和</w:t>
      </w:r>
      <w:r>
        <w:rPr>
          <w:rFonts w:ascii="ＭＳ 明朝" w:hAnsi="ＭＳ 明朝" w:asciiTheme="minorEastAsia" w:hAnsiTheme="minorEastAsia"/>
          <w:sz w:val="24"/>
          <w:szCs w:val="24"/>
        </w:rPr>
        <w:t>4</w:t>
      </w:r>
      <w:r>
        <w:rPr>
          <w:rFonts w:ascii="ＭＳ 明朝" w:hAnsi="ＭＳ 明朝" w:asciiTheme="minorEastAsia" w:hAnsiTheme="minorEastAsia"/>
          <w:sz w:val="24"/>
          <w:szCs w:val="24"/>
        </w:rPr>
        <w:t>年法律第５６号）による改正後の農業経営基盤強化促進法（昭和５５年法律第６５号。以下「改正基盤法」という。）第１９条第</w:t>
      </w:r>
      <w:r>
        <w:rPr>
          <w:rFonts w:ascii="ＭＳ 明朝" w:hAnsi="ＭＳ 明朝" w:asciiTheme="minorEastAsia" w:hAnsiTheme="minorEastAsia"/>
          <w:sz w:val="24"/>
          <w:szCs w:val="24"/>
        </w:rPr>
        <w:t>1</w:t>
      </w:r>
      <w:r>
        <w:rPr>
          <w:rFonts w:ascii="ＭＳ 明朝" w:hAnsi="ＭＳ 明朝" w:asciiTheme="minorEastAsia" w:hAnsiTheme="minorEastAsia"/>
          <w:sz w:val="24"/>
          <w:szCs w:val="24"/>
        </w:rPr>
        <w:t>項の規定に基づき、嘉麻市が農業者の協議の結果を踏まえ、農業の将来の在り方や農用地の効率的かつ総合的な利用に関する目標として農業を担う者ごとに利用する農用地等を表示した地図などを明確化し、公表したものをいう。）に基づいて、農地中間管理事業を活用した利用調整に取り組んでいく必要がある。</w:t>
      </w:r>
    </w:p>
    <w:p>
      <w:pPr>
        <w:pStyle w:val="Normal"/>
        <w:ind w:left="210"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このような観点から、地域の特性を考慮しながら活力ある農業・農村を築くため、法第７条第１項に基づき、農業委員と農地利用最適化推進委員（以下「推進委員」という。）が連携し、担当区域ごとの活動を通じて「農地等の利用の最適化」が一体的に進んでいくよう、嘉麻市農業委員会の指針として具体的な目標と推進方法、目標の達成状況に対する評価の方法等を以下のとおり定める。</w:t>
      </w:r>
    </w:p>
    <w:p>
      <w:pPr>
        <w:pStyle w:val="Normal"/>
        <w:ind w:left="210"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なお、この指針は、改正基盤法第５条第１項に規定する福岡県の農業経営基盤の強化の促進に関する基本構想及び改正基盤法第６条第１項に規定する嘉麻市の農業経営基盤の強化の促進に関する基本構想で「耕地面積に占める担い手への農地集積面積の割合を令和１０年度までに８０％にすること」が目標となっていることから、その目標達成のため令和６年度までの３年間の目標とし、農業委員及び農地利用最適化推進委員の改選期である３年ごとに、検証・見直しを行うものとする。</w:t>
      </w:r>
    </w:p>
    <w:p>
      <w:pPr>
        <w:pStyle w:val="Normal"/>
        <w:ind w:left="210"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また、単年度の具体的な活動については、「農業委員会による最適化活動の推進等について」（令和４年２月２５日付け３経営第２８１６号農林水産省経営局農地政策課長通知）に基づく「最適化活動の目標の設定等」のとおりとする。</w:t>
      </w:r>
    </w:p>
    <w:p>
      <w:pPr>
        <w:pStyle w:val="Normal"/>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Normal"/>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Ⅱ</w:t>
      </w:r>
      <w:r>
        <w:rPr>
          <w:rFonts w:ascii="ＭＳ ゴシック" w:hAnsi="ＭＳ ゴシック" w:eastAsia="ＭＳ ゴシック" w:asciiTheme="majorEastAsia" w:eastAsiaTheme="majorEastAsia" w:hAnsiTheme="majorEastAsia"/>
          <w:sz w:val="24"/>
          <w:szCs w:val="24"/>
        </w:rPr>
        <w:t>　具体的目標と推進方法及び評価方法</w:t>
      </w:r>
    </w:p>
    <w:p>
      <w:pPr>
        <w:pStyle w:val="Normal"/>
        <w:ind w:firstLine="24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１　遊休農地の発生防止・解消について</w:t>
      </w:r>
    </w:p>
    <w:p>
      <w:pPr>
        <w:pStyle w:val="Normal"/>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（１）遊休農地の解消目標</w:t>
      </w:r>
    </w:p>
    <w:tbl>
      <w:tblPr>
        <w:tblStyle w:val="af1"/>
        <w:tblW w:w="8751" w:type="dxa"/>
        <w:jc w:val="left"/>
        <w:tblInd w:w="310" w:type="dxa"/>
        <w:tblLayout w:type="fixed"/>
        <w:tblCellMar>
          <w:top w:w="0" w:type="dxa"/>
          <w:left w:w="108" w:type="dxa"/>
          <w:bottom w:w="0" w:type="dxa"/>
          <w:right w:w="108" w:type="dxa"/>
        </w:tblCellMar>
        <w:tblLook w:firstRow="1" w:noVBand="1" w:lastRow="0" w:firstColumn="1" w:lastColumn="0" w:noHBand="0" w:val="04a0"/>
      </w:tblPr>
      <w:tblGrid>
        <w:gridCol w:w="2204"/>
        <w:gridCol w:w="2159"/>
        <w:gridCol w:w="1134"/>
        <w:gridCol w:w="1747"/>
        <w:gridCol w:w="1507"/>
      </w:tblGrid>
      <w:tr>
        <w:trPr/>
        <w:tc>
          <w:tcPr>
            <w:tcW w:w="2204" w:type="dxa"/>
            <w:tcBorders/>
          </w:tcPr>
          <w:p>
            <w:pPr>
              <w:pStyle w:val="Normal"/>
              <w:widowControl w:val="false"/>
              <w:spacing w:before="0" w:after="0"/>
              <w:rPr>
                <w:rFonts w:ascii="ＭＳ 明朝" w:hAnsi="ＭＳ 明朝" w:asciiTheme="minorEastAsia" w:hAnsiTheme="minorEastAsia"/>
                <w:sz w:val="22"/>
              </w:rPr>
            </w:pPr>
            <w:r>
              <w:rPr>
                <w:rFonts w:eastAsia="ＭＳ 明朝" w:cs="" w:ascii="ＭＳ 明朝" w:hAnsi="ＭＳ 明朝"/>
                <w:kern w:val="2"/>
                <w:sz w:val="22"/>
                <w:szCs w:val="22"/>
                <w:lang w:val="en-US" w:eastAsia="ja-JP" w:bidi="ar-SA"/>
              </w:rPr>
            </w:r>
          </w:p>
        </w:tc>
        <w:tc>
          <w:tcPr>
            <w:tcW w:w="2159" w:type="dxa"/>
            <w:tcBorders/>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管内の農地面積（</w:t>
            </w:r>
            <w:r>
              <w:rPr>
                <w:rFonts w:eastAsia="ＭＳ 明朝" w:cs="" w:ascii="ＭＳ 明朝" w:hAnsi="ＭＳ 明朝" w:asciiTheme="minorEastAsia" w:hAnsiTheme="minorEastAsia"/>
                <w:kern w:val="2"/>
                <w:sz w:val="22"/>
                <w:szCs w:val="22"/>
                <w:lang w:val="en-US" w:eastAsia="ja-JP" w:bidi="ar-SA"/>
              </w:rPr>
              <w:t>A</w:t>
            </w:r>
            <w:r>
              <w:rPr>
                <w:rFonts w:ascii="ＭＳ 明朝" w:hAnsi="ＭＳ 明朝" w:cs="" w:asciiTheme="minorEastAsia" w:hAnsiTheme="minorEastAsia"/>
                <w:kern w:val="2"/>
                <w:sz w:val="22"/>
                <w:szCs w:val="22"/>
                <w:lang w:val="en-US" w:eastAsia="ja-JP" w:bidi="ar-SA"/>
              </w:rPr>
              <w:t>）</w:t>
            </w:r>
          </w:p>
        </w:tc>
        <w:tc>
          <w:tcPr>
            <w:tcW w:w="2881" w:type="dxa"/>
            <w:gridSpan w:val="2"/>
            <w:tcBorders/>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遊休農地面積（</w:t>
            </w:r>
            <w:r>
              <w:rPr>
                <w:rFonts w:eastAsia="ＭＳ 明朝" w:cs="" w:ascii="ＭＳ 明朝" w:hAnsi="ＭＳ 明朝" w:asciiTheme="minorEastAsia" w:hAnsiTheme="minorEastAsia"/>
                <w:kern w:val="2"/>
                <w:sz w:val="22"/>
                <w:szCs w:val="22"/>
                <w:lang w:val="en-US" w:eastAsia="ja-JP" w:bidi="ar-SA"/>
              </w:rPr>
              <w:t>B</w:t>
            </w:r>
            <w:r>
              <w:rPr>
                <w:rFonts w:ascii="ＭＳ 明朝" w:hAnsi="ＭＳ 明朝" w:cs="" w:asciiTheme="minorEastAsia" w:hAnsiTheme="minorEastAsia"/>
                <w:kern w:val="2"/>
                <w:sz w:val="22"/>
                <w:szCs w:val="22"/>
                <w:lang w:val="en-US" w:eastAsia="ja-JP" w:bidi="ar-SA"/>
              </w:rPr>
              <w:t>）</w:t>
            </w:r>
          </w:p>
        </w:tc>
        <w:tc>
          <w:tcPr>
            <w:tcW w:w="1507" w:type="dxa"/>
            <w:tcBorders/>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遊休農地の割合</w:t>
            </w:r>
            <w:r>
              <w:rPr>
                <w:rFonts w:eastAsia="ＭＳ 明朝" w:cs="" w:ascii="ＭＳ 明朝" w:hAnsi="ＭＳ 明朝" w:asciiTheme="minorEastAsia" w:hAnsiTheme="minorEastAsia"/>
                <w:kern w:val="2"/>
                <w:sz w:val="22"/>
                <w:szCs w:val="22"/>
                <w:lang w:val="en-US" w:eastAsia="ja-JP" w:bidi="ar-SA"/>
              </w:rPr>
              <w:t>(B/A)</w:t>
            </w:r>
          </w:p>
        </w:tc>
      </w:tr>
      <w:tr>
        <w:trPr>
          <w:trHeight w:val="652" w:hRule="atLeast"/>
        </w:trPr>
        <w:tc>
          <w:tcPr>
            <w:tcW w:w="2204" w:type="dxa"/>
            <w:tcBorders/>
            <w:vAlign w:val="center"/>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当　　初</w:t>
            </w:r>
          </w:p>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（平成</w:t>
            </w:r>
            <w:r>
              <w:rPr>
                <w:rFonts w:eastAsia="ＭＳ 明朝" w:cs="" w:ascii="ＭＳ 明朝" w:hAnsi="ＭＳ 明朝" w:asciiTheme="minorEastAsia" w:hAnsiTheme="minorEastAsia"/>
                <w:kern w:val="2"/>
                <w:sz w:val="22"/>
                <w:szCs w:val="22"/>
                <w:lang w:val="en-US" w:eastAsia="ja-JP" w:bidi="ar-SA"/>
              </w:rPr>
              <w:t>28</w:t>
            </w:r>
            <w:r>
              <w:rPr>
                <w:rFonts w:ascii="ＭＳ 明朝" w:hAnsi="ＭＳ 明朝" w:cs="" w:asciiTheme="minorEastAsia" w:hAnsiTheme="minorEastAsia"/>
                <w:kern w:val="2"/>
                <w:sz w:val="22"/>
                <w:szCs w:val="22"/>
                <w:lang w:val="en-US" w:eastAsia="ja-JP" w:bidi="ar-SA"/>
              </w:rPr>
              <w:t>年</w:t>
            </w:r>
            <w:r>
              <w:rPr>
                <w:rFonts w:eastAsia="ＭＳ 明朝" w:cs="" w:ascii="ＭＳ 明朝" w:hAnsi="ＭＳ 明朝" w:asciiTheme="minorEastAsia" w:hAnsiTheme="minorEastAsia"/>
                <w:kern w:val="2"/>
                <w:sz w:val="22"/>
                <w:szCs w:val="22"/>
                <w:lang w:val="en-US" w:eastAsia="ja-JP" w:bidi="ar-SA"/>
              </w:rPr>
              <w:t>3</w:t>
            </w:r>
            <w:r>
              <w:rPr>
                <w:rFonts w:ascii="ＭＳ 明朝" w:hAnsi="ＭＳ 明朝" w:cs="" w:asciiTheme="minorEastAsia" w:hAnsiTheme="minorEastAsia"/>
                <w:kern w:val="2"/>
                <w:sz w:val="22"/>
                <w:szCs w:val="22"/>
                <w:lang w:val="en-US" w:eastAsia="ja-JP" w:bidi="ar-SA"/>
              </w:rPr>
              <w:t>月）</w:t>
            </w:r>
          </w:p>
        </w:tc>
        <w:tc>
          <w:tcPr>
            <w:tcW w:w="2159"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2,030ha</w:t>
            </w:r>
          </w:p>
        </w:tc>
        <w:tc>
          <w:tcPr>
            <w:tcW w:w="2881" w:type="dxa"/>
            <w:gridSpan w:val="2"/>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42.7ha</w:t>
            </w:r>
          </w:p>
        </w:tc>
        <w:tc>
          <w:tcPr>
            <w:tcW w:w="1507"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2.1</w:t>
            </w:r>
            <w:r>
              <w:rPr>
                <w:rFonts w:ascii="ＭＳ 明朝" w:hAnsi="ＭＳ 明朝" w:cs="" w:asciiTheme="minorEastAsia" w:hAnsiTheme="minorEastAsia"/>
                <w:kern w:val="2"/>
                <w:sz w:val="24"/>
                <w:szCs w:val="24"/>
                <w:lang w:val="en-US" w:eastAsia="ja-JP" w:bidi="ar-SA"/>
              </w:rPr>
              <w:t>％</w:t>
            </w:r>
          </w:p>
        </w:tc>
      </w:tr>
      <w:tr>
        <w:trPr>
          <w:trHeight w:val="339" w:hRule="atLeast"/>
        </w:trPr>
        <w:tc>
          <w:tcPr>
            <w:tcW w:w="2204" w:type="dxa"/>
            <w:vMerge w:val="restart"/>
            <w:tcBorders/>
            <w:vAlign w:val="center"/>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現　　状</w:t>
            </w:r>
          </w:p>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（令和</w:t>
            </w:r>
            <w:r>
              <w:rPr>
                <w:rFonts w:eastAsia="ＭＳ 明朝" w:cs="" w:ascii="ＭＳ 明朝" w:hAnsi="ＭＳ 明朝" w:asciiTheme="minorEastAsia" w:hAnsiTheme="minorEastAsia"/>
                <w:kern w:val="2"/>
                <w:sz w:val="22"/>
                <w:szCs w:val="22"/>
                <w:lang w:val="en-US" w:eastAsia="ja-JP" w:bidi="ar-SA"/>
              </w:rPr>
              <w:t>4</w:t>
            </w:r>
            <w:r>
              <w:rPr>
                <w:rFonts w:ascii="ＭＳ 明朝" w:hAnsi="ＭＳ 明朝" w:cs="" w:asciiTheme="minorEastAsia" w:hAnsiTheme="minorEastAsia"/>
                <w:kern w:val="2"/>
                <w:sz w:val="22"/>
                <w:szCs w:val="22"/>
                <w:lang w:val="en-US" w:eastAsia="ja-JP" w:bidi="ar-SA"/>
              </w:rPr>
              <w:t>年</w:t>
            </w:r>
            <w:r>
              <w:rPr>
                <w:rFonts w:eastAsia="ＭＳ 明朝" w:cs="" w:ascii="ＭＳ 明朝" w:hAnsi="ＭＳ 明朝" w:asciiTheme="minorEastAsia" w:hAnsiTheme="minorEastAsia"/>
                <w:kern w:val="2"/>
                <w:sz w:val="22"/>
                <w:szCs w:val="22"/>
                <w:lang w:val="en-US" w:eastAsia="ja-JP" w:bidi="ar-SA"/>
              </w:rPr>
              <w:t>3</w:t>
            </w:r>
            <w:r>
              <w:rPr>
                <w:rFonts w:ascii="ＭＳ 明朝" w:hAnsi="ＭＳ 明朝" w:cs="" w:asciiTheme="minorEastAsia" w:hAnsiTheme="minorEastAsia"/>
                <w:kern w:val="2"/>
                <w:sz w:val="22"/>
                <w:szCs w:val="22"/>
                <w:lang w:val="en-US" w:eastAsia="ja-JP" w:bidi="ar-SA"/>
              </w:rPr>
              <w:t>月）</w:t>
            </w:r>
          </w:p>
        </w:tc>
        <w:tc>
          <w:tcPr>
            <w:tcW w:w="2159" w:type="dxa"/>
            <w:vMerge w:val="restart"/>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1,880ha</w:t>
            </w:r>
          </w:p>
        </w:tc>
        <w:tc>
          <w:tcPr>
            <w:tcW w:w="1134" w:type="dxa"/>
            <w:tcBorders/>
            <w:vAlign w:val="center"/>
          </w:tcPr>
          <w:p>
            <w:pPr>
              <w:pStyle w:val="Normal"/>
              <w:widowControl w:val="false"/>
              <w:spacing w:before="0" w:after="0"/>
              <w:jc w:val="center"/>
              <w:rPr>
                <w:rFonts w:ascii="ＭＳ 明朝" w:hAnsi="ＭＳ 明朝" w:asciiTheme="minorEastAsia" w:hAnsiTheme="minorEastAsia"/>
                <w:sz w:val="22"/>
                <w:szCs w:val="24"/>
              </w:rPr>
            </w:pPr>
            <w:r>
              <w:rPr>
                <w:rFonts w:eastAsia="ＭＳ 明朝" w:cs="" w:ascii="ＭＳ 明朝" w:hAnsi="ＭＳ 明朝" w:asciiTheme="minorEastAsia" w:hAnsiTheme="minorEastAsia"/>
                <w:kern w:val="2"/>
                <w:sz w:val="22"/>
                <w:szCs w:val="24"/>
                <w:lang w:val="en-US" w:eastAsia="ja-JP" w:bidi="ar-SA"/>
              </w:rPr>
              <w:t>1</w:t>
            </w:r>
            <w:r>
              <w:rPr>
                <w:rFonts w:ascii="ＭＳ 明朝" w:hAnsi="ＭＳ 明朝" w:cs="" w:asciiTheme="minorEastAsia" w:hAnsiTheme="minorEastAsia"/>
                <w:kern w:val="2"/>
                <w:sz w:val="22"/>
                <w:szCs w:val="24"/>
                <w:lang w:val="en-US" w:eastAsia="ja-JP" w:bidi="ar-SA"/>
              </w:rPr>
              <w:t>号緑</w:t>
            </w:r>
          </w:p>
        </w:tc>
        <w:tc>
          <w:tcPr>
            <w:tcW w:w="1747"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17ha</w:t>
            </w:r>
          </w:p>
        </w:tc>
        <w:tc>
          <w:tcPr>
            <w:tcW w:w="1507"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0.9</w:t>
            </w:r>
            <w:r>
              <w:rPr>
                <w:rFonts w:ascii="ＭＳ 明朝" w:hAnsi="ＭＳ 明朝" w:cs="" w:asciiTheme="minorEastAsia" w:hAnsiTheme="minorEastAsia"/>
                <w:kern w:val="2"/>
                <w:sz w:val="24"/>
                <w:szCs w:val="24"/>
                <w:lang w:val="en-US" w:eastAsia="ja-JP" w:bidi="ar-SA"/>
              </w:rPr>
              <w:t>％</w:t>
            </w:r>
          </w:p>
        </w:tc>
      </w:tr>
      <w:tr>
        <w:trPr>
          <w:trHeight w:val="303" w:hRule="atLeast"/>
        </w:trPr>
        <w:tc>
          <w:tcPr>
            <w:tcW w:w="2204" w:type="dxa"/>
            <w:vMerge w:val="continue"/>
            <w:tcBorders/>
            <w:vAlign w:val="center"/>
          </w:tcPr>
          <w:p>
            <w:pPr>
              <w:pStyle w:val="Normal"/>
              <w:widowControl w:val="false"/>
              <w:spacing w:before="0" w:after="0"/>
              <w:jc w:val="center"/>
              <w:rPr>
                <w:rFonts w:ascii="ＭＳ 明朝" w:hAnsi="ＭＳ 明朝" w:asciiTheme="minorEastAsia" w:hAnsiTheme="minorEastAsia"/>
                <w:sz w:val="22"/>
              </w:rPr>
            </w:pPr>
            <w:r>
              <w:rPr>
                <w:rFonts w:eastAsia="ＭＳ 明朝" w:cs="" w:ascii="ＭＳ 明朝" w:hAnsi="ＭＳ 明朝"/>
                <w:kern w:val="2"/>
                <w:sz w:val="22"/>
                <w:szCs w:val="22"/>
                <w:lang w:val="en-US" w:eastAsia="ja-JP" w:bidi="ar-SA"/>
              </w:rPr>
            </w:r>
          </w:p>
        </w:tc>
        <w:tc>
          <w:tcPr>
            <w:tcW w:w="2159" w:type="dxa"/>
            <w:vMerge w:val="continue"/>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kern w:val="2"/>
                <w:sz w:val="24"/>
                <w:szCs w:val="24"/>
                <w:lang w:val="en-US" w:eastAsia="ja-JP" w:bidi="ar-SA"/>
              </w:rPr>
            </w:r>
          </w:p>
        </w:tc>
        <w:tc>
          <w:tcPr>
            <w:tcW w:w="1134" w:type="dxa"/>
            <w:tcBorders/>
            <w:vAlign w:val="center"/>
          </w:tcPr>
          <w:p>
            <w:pPr>
              <w:pStyle w:val="Normal"/>
              <w:widowControl w:val="false"/>
              <w:spacing w:before="0" w:after="0"/>
              <w:jc w:val="center"/>
              <w:rPr>
                <w:rFonts w:ascii="ＭＳ 明朝" w:hAnsi="ＭＳ 明朝" w:asciiTheme="minorEastAsia" w:hAnsiTheme="minorEastAsia"/>
                <w:sz w:val="22"/>
                <w:szCs w:val="24"/>
              </w:rPr>
            </w:pPr>
            <w:r>
              <w:rPr>
                <w:rFonts w:eastAsia="ＭＳ 明朝" w:cs="" w:ascii="ＭＳ 明朝" w:hAnsi="ＭＳ 明朝" w:asciiTheme="minorEastAsia" w:hAnsiTheme="minorEastAsia"/>
                <w:kern w:val="2"/>
                <w:sz w:val="22"/>
                <w:szCs w:val="24"/>
                <w:lang w:val="en-US" w:eastAsia="ja-JP" w:bidi="ar-SA"/>
              </w:rPr>
              <w:t>1</w:t>
            </w:r>
            <w:r>
              <w:rPr>
                <w:rFonts w:ascii="ＭＳ 明朝" w:hAnsi="ＭＳ 明朝" w:cs="" w:asciiTheme="minorEastAsia" w:hAnsiTheme="minorEastAsia"/>
                <w:kern w:val="2"/>
                <w:sz w:val="22"/>
                <w:szCs w:val="24"/>
                <w:lang w:val="en-US" w:eastAsia="ja-JP" w:bidi="ar-SA"/>
              </w:rPr>
              <w:t>号黄</w:t>
            </w:r>
          </w:p>
        </w:tc>
        <w:tc>
          <w:tcPr>
            <w:tcW w:w="1747"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3ha</w:t>
            </w:r>
          </w:p>
        </w:tc>
        <w:tc>
          <w:tcPr>
            <w:tcW w:w="1507"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0.1</w:t>
            </w:r>
            <w:r>
              <w:rPr>
                <w:rFonts w:ascii="ＭＳ 明朝" w:hAnsi="ＭＳ 明朝" w:cs="" w:asciiTheme="minorEastAsia" w:hAnsiTheme="minorEastAsia"/>
                <w:kern w:val="2"/>
                <w:sz w:val="24"/>
                <w:szCs w:val="24"/>
                <w:lang w:val="en-US" w:eastAsia="ja-JP" w:bidi="ar-SA"/>
              </w:rPr>
              <w:t>％</w:t>
            </w:r>
          </w:p>
        </w:tc>
      </w:tr>
      <w:tr>
        <w:trPr>
          <w:trHeight w:val="537" w:hRule="atLeast"/>
        </w:trPr>
        <w:tc>
          <w:tcPr>
            <w:tcW w:w="2204" w:type="dxa"/>
            <w:tcBorders/>
            <w:vAlign w:val="center"/>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目　　標</w:t>
            </w:r>
          </w:p>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（令和</w:t>
            </w:r>
            <w:r>
              <w:rPr>
                <w:rFonts w:eastAsia="ＭＳ 明朝" w:cs="" w:ascii="ＭＳ 明朝" w:hAnsi="ＭＳ 明朝" w:asciiTheme="minorEastAsia" w:hAnsiTheme="minorEastAsia"/>
                <w:kern w:val="2"/>
                <w:sz w:val="22"/>
                <w:szCs w:val="22"/>
                <w:lang w:val="en-US" w:eastAsia="ja-JP" w:bidi="ar-SA"/>
              </w:rPr>
              <w:t>7</w:t>
            </w:r>
            <w:r>
              <w:rPr>
                <w:rFonts w:ascii="ＭＳ 明朝" w:hAnsi="ＭＳ 明朝" w:cs="" w:asciiTheme="minorEastAsia" w:hAnsiTheme="minorEastAsia"/>
                <w:kern w:val="2"/>
                <w:sz w:val="22"/>
                <w:szCs w:val="22"/>
                <w:lang w:val="en-US" w:eastAsia="ja-JP" w:bidi="ar-SA"/>
              </w:rPr>
              <w:t>年</w:t>
            </w:r>
            <w:r>
              <w:rPr>
                <w:rFonts w:eastAsia="ＭＳ 明朝" w:cs="" w:ascii="ＭＳ 明朝" w:hAnsi="ＭＳ 明朝" w:asciiTheme="minorEastAsia" w:hAnsiTheme="minorEastAsia"/>
                <w:kern w:val="2"/>
                <w:sz w:val="22"/>
                <w:szCs w:val="22"/>
                <w:lang w:val="en-US" w:eastAsia="ja-JP" w:bidi="ar-SA"/>
              </w:rPr>
              <w:t>3</w:t>
            </w:r>
            <w:r>
              <w:rPr>
                <w:rFonts w:ascii="ＭＳ 明朝" w:hAnsi="ＭＳ 明朝" w:cs="" w:asciiTheme="minorEastAsia" w:hAnsiTheme="minorEastAsia"/>
                <w:kern w:val="2"/>
                <w:sz w:val="22"/>
                <w:szCs w:val="22"/>
                <w:lang w:val="en-US" w:eastAsia="ja-JP" w:bidi="ar-SA"/>
              </w:rPr>
              <w:t>月）</w:t>
            </w:r>
          </w:p>
        </w:tc>
        <w:tc>
          <w:tcPr>
            <w:tcW w:w="2159"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1,880ha</w:t>
            </w:r>
          </w:p>
        </w:tc>
        <w:tc>
          <w:tcPr>
            <w:tcW w:w="2881" w:type="dxa"/>
            <w:gridSpan w:val="2"/>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14.28ha</w:t>
            </w:r>
          </w:p>
        </w:tc>
        <w:tc>
          <w:tcPr>
            <w:tcW w:w="1507"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0.76</w:t>
            </w:r>
            <w:r>
              <w:rPr>
                <w:rFonts w:ascii="ＭＳ 明朝" w:hAnsi="ＭＳ 明朝" w:cs="" w:asciiTheme="minorEastAsia" w:hAnsiTheme="minorEastAsia"/>
                <w:kern w:val="2"/>
                <w:sz w:val="24"/>
                <w:szCs w:val="24"/>
                <w:lang w:val="en-US" w:eastAsia="ja-JP" w:bidi="ar-SA"/>
              </w:rPr>
              <w:t>％</w:t>
            </w:r>
          </w:p>
        </w:tc>
      </w:tr>
    </w:tbl>
    <w:p>
      <w:pPr>
        <w:pStyle w:val="Normal"/>
        <w:ind w:firstLine="320"/>
        <w:rPr>
          <w:rFonts w:ascii="ＭＳ 明朝" w:hAnsi="ＭＳ 明朝" w:asciiTheme="minorEastAsia" w:hAnsiTheme="minorEastAsia"/>
          <w:sz w:val="16"/>
        </w:rPr>
      </w:pPr>
      <w:r>
        <w:rPr>
          <w:rFonts w:ascii="ＭＳ 明朝" w:hAnsi="ＭＳ 明朝" w:asciiTheme="minorEastAsia" w:hAnsiTheme="minorEastAsia"/>
          <w:sz w:val="16"/>
        </w:rPr>
        <w:t>注１：「管内の農地面積」は、耕地及び作付面積統計における耕地面積と遊休農地面積の合計面積。</w:t>
      </w:r>
    </w:p>
    <w:p>
      <w:pPr>
        <w:pStyle w:val="Normal"/>
        <w:rPr>
          <w:rFonts w:ascii="ＭＳ 明朝" w:hAnsi="ＭＳ 明朝" w:asciiTheme="minorEastAsia" w:hAnsiTheme="minorEastAsia"/>
          <w:sz w:val="16"/>
        </w:rPr>
      </w:pPr>
      <w:r>
        <w:rPr>
          <w:rFonts w:ascii="ＭＳ 明朝" w:hAnsi="ＭＳ 明朝" w:asciiTheme="minorEastAsia" w:hAnsiTheme="minorEastAsia"/>
          <w:sz w:val="16"/>
        </w:rPr>
        <w:t>　　注２：令和</w:t>
      </w:r>
      <w:r>
        <w:rPr>
          <w:rFonts w:ascii="ＭＳ 明朝" w:hAnsi="ＭＳ 明朝" w:asciiTheme="minorEastAsia" w:hAnsiTheme="minorEastAsia"/>
          <w:sz w:val="16"/>
        </w:rPr>
        <w:t>11</w:t>
      </w:r>
      <w:r>
        <w:rPr>
          <w:rFonts w:ascii="ＭＳ 明朝" w:hAnsi="ＭＳ 明朝" w:asciiTheme="minorEastAsia" w:hAnsiTheme="minorEastAsia"/>
          <w:sz w:val="16"/>
        </w:rPr>
        <w:t>年３月までに遊休農地を解消することを目的とする。</w:t>
      </w:r>
    </w:p>
    <w:p>
      <w:pPr>
        <w:pStyle w:val="Normal"/>
        <w:rPr>
          <w:rFonts w:ascii="ＭＳ 明朝" w:hAnsi="ＭＳ 明朝" w:asciiTheme="minorEastAsia" w:hAnsiTheme="minorEastAsia"/>
          <w:sz w:val="20"/>
        </w:rPr>
      </w:pPr>
      <w:r>
        <w:rPr>
          <w:rFonts w:asciiTheme="minorEastAsia" w:hAnsiTheme="minorEastAsia" w:ascii="ＭＳ 明朝" w:hAnsi="ＭＳ 明朝"/>
          <w:sz w:val="20"/>
        </w:rPr>
      </w:r>
    </w:p>
    <w:p>
      <w:pPr>
        <w:pStyle w:val="Normal"/>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（２）遊休農地の発生防止・解消の具体的な推進方法</w:t>
      </w:r>
    </w:p>
    <w:p>
      <w:pPr>
        <w:pStyle w:val="Normal"/>
        <w:spacing w:before="120" w:after="0"/>
        <w:ind w:firstLine="36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 xml:space="preserve"> ①</w:t>
      </w:r>
      <w:r>
        <w:rPr>
          <w:rFonts w:ascii="ＭＳ ゴシック" w:hAnsi="ＭＳ ゴシック" w:eastAsia="ＭＳ ゴシック" w:asciiTheme="majorEastAsia" w:eastAsiaTheme="majorEastAsia" w:hAnsiTheme="majorEastAsia"/>
          <w:sz w:val="24"/>
          <w:szCs w:val="24"/>
        </w:rPr>
        <w:t>　農地の利用状況調査と利用意向調査の実施について</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嘉麻市農業委員会の農業委員と推進委員の担当制による農地法（昭和２７年法律第２２９号）第３０条第１項の規定による利用状況調査（以下「利用状況調査」という。）と同法第３２条第１項の規定による利用意向調査（以下「利用意向調査」という。）の実施について協議・検討し、調査の徹底を図る。</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それぞれの調査時期については、「農地法の運用について」（平成２１年１２月１１日付け２１経営第４５３０号・２１農振第１５９８号農林水産省経営局長・農村振興局長連名通知）第３の１（１）に基づき、８月頃に実施する。</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なお、従来から農地パトロールの中で行っていた違反転用の発生防止・早期発見等、農地の適正な利用の確認に関する現場活動については、利用状況調査の時期にかかわらず日常的に実施する。</w:t>
      </w:r>
    </w:p>
    <w:p>
      <w:pPr>
        <w:pStyle w:val="Normal"/>
        <w:ind w:left="735" w:firstLine="240"/>
        <w:rPr>
          <w:rFonts w:ascii="ＭＳ 明朝" w:hAnsi="ＭＳ 明朝" w:asciiTheme="minorEastAsia" w:hAnsiTheme="minorEastAsia"/>
          <w:sz w:val="24"/>
          <w:szCs w:val="24"/>
        </w:rPr>
      </w:pPr>
      <w:r>
        <w:rPr>
          <w:sz w:val="24"/>
        </w:rPr>
        <w:t>利用状況調査の結果、遊休農地および耕作者が不在又は不在となるおそれのある農地の所有者等に対して、直ちに利用意向調査を実施し、農地所有者等の意向や「地域計画」（人・農地プラン）等を勘案しつつ、</w:t>
      </w:r>
      <w:r>
        <w:rPr>
          <w:rFonts w:ascii="ＭＳ 明朝" w:hAnsi="ＭＳ 明朝" w:asciiTheme="minorEastAsia" w:hAnsiTheme="minorEastAsia"/>
          <w:sz w:val="24"/>
          <w:szCs w:val="24"/>
        </w:rPr>
        <w:t>農地法第３４条に基づく農地の利用関係の調整を行う。</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利用状況調査と利用意向調査の結果は、速やかに「農業委員会サポートシステム」に反映し、農地台帳の正確な記録の確保と公表の迅速化を図る。</w:t>
      </w:r>
    </w:p>
    <w:p>
      <w:pPr>
        <w:pStyle w:val="Normal"/>
        <w:ind w:firstLine="48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②</w:t>
      </w:r>
      <w:r>
        <w:rPr>
          <w:rFonts w:ascii="ＭＳ ゴシック" w:hAnsi="ＭＳ ゴシック" w:eastAsia="ＭＳ ゴシック" w:asciiTheme="majorEastAsia" w:eastAsiaTheme="majorEastAsia" w:hAnsiTheme="majorEastAsia"/>
          <w:sz w:val="24"/>
          <w:szCs w:val="24"/>
        </w:rPr>
        <w:t>　農地中間管理機構との連携について</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利用意向調査を実施後、中間管理機構に遊休農地の情報提供を行う。また農地の所有者等から農地中間管理事業を利用する旨の意思表明があったときはすみやかにその旨を機構に通知する。</w:t>
      </w:r>
    </w:p>
    <w:p>
      <w:pPr>
        <w:pStyle w:val="Normal"/>
        <w:ind w:left="735" w:firstLine="240"/>
        <w:rPr>
          <w:sz w:val="24"/>
        </w:rPr>
      </w:pPr>
      <w:r>
        <w:rPr>
          <w:sz w:val="24"/>
        </w:rPr>
        <w:t>農地の所有者等の意向表明から６月を経過しても農業上の利用が図られていないとき、農業上の利用を行う意思がないとき、利用意向調査を行った日から６月を経過しても意思の表明がないとき等に該当するときは、当該農地の所有者等に機構と協議すべきことを勧告する。</w:t>
      </w:r>
    </w:p>
    <w:p>
      <w:pPr>
        <w:pStyle w:val="Normal"/>
        <w:ind w:left="735" w:firstLine="240"/>
        <w:rPr>
          <w:sz w:val="24"/>
        </w:rPr>
      </w:pPr>
      <w:r>
        <w:rPr>
          <w:sz w:val="24"/>
        </w:rPr>
        <w:t>ただし、当該農地が機構の事業規程の基準に不適合である場合は、協議の申し入れは行わない。この場合、農業委員会は当該農地について改めて農地に該当するか否かの判断を行い、農地に該当すると判断した場合は、その他の方法による利用関係の調整を行う。</w:t>
      </w:r>
    </w:p>
    <w:p>
      <w:pPr>
        <w:pStyle w:val="Normal"/>
        <w:spacing w:before="120" w:after="0"/>
        <w:ind w:firstLine="48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③</w:t>
      </w:r>
      <w:r>
        <w:rPr>
          <w:rFonts w:ascii="ＭＳ ゴシック" w:hAnsi="ＭＳ ゴシック" w:eastAsia="ＭＳ ゴシック" w:asciiTheme="majorEastAsia" w:eastAsiaTheme="majorEastAsia" w:hAnsiTheme="majorEastAsia"/>
          <w:sz w:val="24"/>
          <w:szCs w:val="24"/>
        </w:rPr>
        <w:t>　非農地判断について</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利用状況調査により、再生利用が困難な農地（既に森林の様相を呈するなど農業上の利用の増進を図ることが見込まれない農地）と判定した農地については対象地に関する情報を精査・確認し、調査後直ちに農地に該当するか否かの判断を行う。</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非農地と判断された対象地については、所有者等をはじめ都道府県、市町村、法務局等の関係機関に非農地になった旨を通知し、農地台帳上の現況地目について実態に沿った地目に変更する。</w:t>
      </w:r>
    </w:p>
    <w:p>
      <w:pPr>
        <w:pStyle w:val="Normal"/>
        <w:spacing w:before="120" w:after="120"/>
        <w:rPr>
          <w:rFonts w:ascii="ＭＳ 明朝" w:hAnsi="ＭＳ 明朝" w:asciiTheme="minorEastAsia" w:hAnsiTheme="minorEastAsia"/>
          <w:sz w:val="24"/>
          <w:szCs w:val="24"/>
        </w:rPr>
      </w:pPr>
      <w:r>
        <w:rPr>
          <w:rFonts w:ascii="ＭＳ 明朝" w:hAnsi="ＭＳ 明朝" w:asciiTheme="minorEastAsia" w:hAnsiTheme="minorEastAsia"/>
          <w:sz w:val="24"/>
          <w:szCs w:val="24"/>
        </w:rPr>
        <w:t>（３）遊休農地の発生防止・解消の評価方法</w:t>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　　　遊休農地の発生防止・解消の進捗状況は、遊休農地の割合により評価する。</w:t>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　　　単年度の評価については、「農業委員会による最適化活動の推進等について」に基づく「農業委員会の農地の利用の最適化の推進の状況その他事務の実施状況の公表」のとおりとする。</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spacing w:before="360" w:after="0"/>
        <w:ind w:hanging="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２　担い手への農地利用の集積・集約化について</w:t>
      </w:r>
    </w:p>
    <w:p>
      <w:pPr>
        <w:pStyle w:val="Normal"/>
        <w:spacing w:before="120" w:after="0"/>
        <w:ind w:firstLine="24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（１）担い手への農地利用集積目標</w:t>
      </w:r>
    </w:p>
    <w:tbl>
      <w:tblPr>
        <w:tblStyle w:val="af1"/>
        <w:tblW w:w="8751" w:type="dxa"/>
        <w:jc w:val="left"/>
        <w:tblInd w:w="310" w:type="dxa"/>
        <w:tblLayout w:type="fixed"/>
        <w:tblCellMar>
          <w:top w:w="0" w:type="dxa"/>
          <w:left w:w="108" w:type="dxa"/>
          <w:bottom w:w="0" w:type="dxa"/>
          <w:right w:w="108" w:type="dxa"/>
        </w:tblCellMar>
        <w:tblLook w:firstRow="1" w:noVBand="1" w:lastRow="0" w:firstColumn="1" w:lastColumn="0" w:noHBand="0" w:val="04a0"/>
      </w:tblPr>
      <w:tblGrid>
        <w:gridCol w:w="2204"/>
        <w:gridCol w:w="2520"/>
        <w:gridCol w:w="2520"/>
        <w:gridCol w:w="1506"/>
      </w:tblGrid>
      <w:tr>
        <w:trPr/>
        <w:tc>
          <w:tcPr>
            <w:tcW w:w="2204" w:type="dxa"/>
            <w:tcBorders/>
          </w:tcPr>
          <w:p>
            <w:pPr>
              <w:pStyle w:val="Normal"/>
              <w:widowControl w:val="false"/>
              <w:spacing w:before="0" w:after="0"/>
              <w:rPr>
                <w:rFonts w:ascii="ＭＳ 明朝" w:hAnsi="ＭＳ 明朝" w:asciiTheme="minorEastAsia" w:hAnsiTheme="minorEastAsia"/>
                <w:sz w:val="22"/>
              </w:rPr>
            </w:pPr>
            <w:r>
              <w:rPr>
                <w:rFonts w:eastAsia="ＭＳ 明朝" w:cs="" w:ascii="ＭＳ 明朝" w:hAnsi="ＭＳ 明朝"/>
                <w:kern w:val="2"/>
                <w:sz w:val="22"/>
                <w:szCs w:val="22"/>
                <w:lang w:val="en-US" w:eastAsia="ja-JP" w:bidi="ar-SA"/>
              </w:rPr>
            </w:r>
          </w:p>
        </w:tc>
        <w:tc>
          <w:tcPr>
            <w:tcW w:w="2520" w:type="dxa"/>
            <w:tcBorders/>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管内の農地面積（</w:t>
            </w:r>
            <w:r>
              <w:rPr>
                <w:rFonts w:eastAsia="ＭＳ 明朝" w:cs="" w:ascii="ＭＳ 明朝" w:hAnsi="ＭＳ 明朝" w:asciiTheme="minorEastAsia" w:hAnsiTheme="minorEastAsia"/>
                <w:kern w:val="2"/>
                <w:sz w:val="22"/>
                <w:szCs w:val="22"/>
                <w:lang w:val="en-US" w:eastAsia="ja-JP" w:bidi="ar-SA"/>
              </w:rPr>
              <w:t>A</w:t>
            </w:r>
            <w:r>
              <w:rPr>
                <w:rFonts w:ascii="ＭＳ 明朝" w:hAnsi="ＭＳ 明朝" w:cs="" w:asciiTheme="minorEastAsia" w:hAnsiTheme="minorEastAsia"/>
                <w:kern w:val="2"/>
                <w:sz w:val="22"/>
                <w:szCs w:val="22"/>
                <w:lang w:val="en-US" w:eastAsia="ja-JP" w:bidi="ar-SA"/>
              </w:rPr>
              <w:t>）</w:t>
            </w:r>
          </w:p>
        </w:tc>
        <w:tc>
          <w:tcPr>
            <w:tcW w:w="2520" w:type="dxa"/>
            <w:tcBorders/>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集積面積（</w:t>
            </w:r>
            <w:r>
              <w:rPr>
                <w:rFonts w:eastAsia="ＭＳ 明朝" w:cs="" w:ascii="ＭＳ 明朝" w:hAnsi="ＭＳ 明朝" w:asciiTheme="minorEastAsia" w:hAnsiTheme="minorEastAsia"/>
                <w:kern w:val="2"/>
                <w:sz w:val="22"/>
                <w:szCs w:val="22"/>
                <w:lang w:val="en-US" w:eastAsia="ja-JP" w:bidi="ar-SA"/>
              </w:rPr>
              <w:t>B</w:t>
            </w:r>
            <w:r>
              <w:rPr>
                <w:rFonts w:ascii="ＭＳ 明朝" w:hAnsi="ＭＳ 明朝" w:cs="" w:asciiTheme="minorEastAsia" w:hAnsiTheme="minorEastAsia"/>
                <w:kern w:val="2"/>
                <w:sz w:val="22"/>
                <w:szCs w:val="22"/>
                <w:lang w:val="en-US" w:eastAsia="ja-JP" w:bidi="ar-SA"/>
              </w:rPr>
              <w:t>）</w:t>
            </w:r>
          </w:p>
        </w:tc>
        <w:tc>
          <w:tcPr>
            <w:tcW w:w="1506" w:type="dxa"/>
            <w:tcBorders/>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集積率</w:t>
            </w:r>
            <w:r>
              <w:rPr>
                <w:rFonts w:eastAsia="ＭＳ 明朝" w:cs="" w:ascii="ＭＳ 明朝" w:hAnsi="ＭＳ 明朝" w:asciiTheme="minorEastAsia" w:hAnsiTheme="minorEastAsia"/>
                <w:kern w:val="2"/>
                <w:sz w:val="22"/>
                <w:szCs w:val="22"/>
                <w:lang w:val="en-US" w:eastAsia="ja-JP" w:bidi="ar-SA"/>
              </w:rPr>
              <w:t>(B/A)</w:t>
            </w:r>
          </w:p>
        </w:tc>
      </w:tr>
      <w:tr>
        <w:trPr>
          <w:trHeight w:val="1173" w:hRule="atLeast"/>
        </w:trPr>
        <w:tc>
          <w:tcPr>
            <w:tcW w:w="2204" w:type="dxa"/>
            <w:tcBorders/>
            <w:vAlign w:val="center"/>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当　　初</w:t>
            </w:r>
          </w:p>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（平成</w:t>
            </w:r>
            <w:r>
              <w:rPr>
                <w:rFonts w:eastAsia="ＭＳ 明朝" w:cs="" w:ascii="ＭＳ 明朝" w:hAnsi="ＭＳ 明朝" w:asciiTheme="minorEastAsia" w:hAnsiTheme="minorEastAsia"/>
                <w:kern w:val="2"/>
                <w:sz w:val="22"/>
                <w:szCs w:val="22"/>
                <w:lang w:val="en-US" w:eastAsia="ja-JP" w:bidi="ar-SA"/>
              </w:rPr>
              <w:t>28</w:t>
            </w:r>
            <w:r>
              <w:rPr>
                <w:rFonts w:ascii="ＭＳ 明朝" w:hAnsi="ＭＳ 明朝" w:cs="" w:asciiTheme="minorEastAsia" w:hAnsiTheme="minorEastAsia"/>
                <w:kern w:val="2"/>
                <w:sz w:val="22"/>
                <w:szCs w:val="22"/>
                <w:lang w:val="en-US" w:eastAsia="ja-JP" w:bidi="ar-SA"/>
              </w:rPr>
              <w:t>年</w:t>
            </w:r>
            <w:r>
              <w:rPr>
                <w:rFonts w:eastAsia="ＭＳ 明朝" w:cs="" w:ascii="ＭＳ 明朝" w:hAnsi="ＭＳ 明朝" w:asciiTheme="minorEastAsia" w:hAnsiTheme="minorEastAsia"/>
                <w:kern w:val="2"/>
                <w:sz w:val="22"/>
                <w:szCs w:val="22"/>
                <w:lang w:val="en-US" w:eastAsia="ja-JP" w:bidi="ar-SA"/>
              </w:rPr>
              <w:t>3</w:t>
            </w:r>
            <w:r>
              <w:rPr>
                <w:rFonts w:ascii="ＭＳ 明朝" w:hAnsi="ＭＳ 明朝" w:cs="" w:asciiTheme="minorEastAsia" w:hAnsiTheme="minorEastAsia"/>
                <w:kern w:val="2"/>
                <w:sz w:val="22"/>
                <w:szCs w:val="22"/>
                <w:lang w:val="en-US" w:eastAsia="ja-JP" w:bidi="ar-SA"/>
              </w:rPr>
              <w:t>月）</w:t>
            </w:r>
          </w:p>
        </w:tc>
        <w:tc>
          <w:tcPr>
            <w:tcW w:w="2520"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1,990ha</w:t>
            </w:r>
          </w:p>
        </w:tc>
        <w:tc>
          <w:tcPr>
            <w:tcW w:w="2520"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777ha</w:t>
            </w:r>
          </w:p>
        </w:tc>
        <w:tc>
          <w:tcPr>
            <w:tcW w:w="1506"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39.0</w:t>
            </w:r>
            <w:r>
              <w:rPr>
                <w:rFonts w:ascii="ＭＳ 明朝" w:hAnsi="ＭＳ 明朝" w:cs="" w:asciiTheme="minorEastAsia" w:hAnsiTheme="minorEastAsia"/>
                <w:kern w:val="2"/>
                <w:sz w:val="24"/>
                <w:szCs w:val="24"/>
                <w:lang w:val="en-US" w:eastAsia="ja-JP" w:bidi="ar-SA"/>
              </w:rPr>
              <w:t>％</w:t>
            </w:r>
          </w:p>
        </w:tc>
      </w:tr>
      <w:tr>
        <w:trPr>
          <w:trHeight w:val="1125" w:hRule="atLeast"/>
        </w:trPr>
        <w:tc>
          <w:tcPr>
            <w:tcW w:w="2204" w:type="dxa"/>
            <w:tcBorders/>
            <w:vAlign w:val="center"/>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現　　状</w:t>
            </w:r>
          </w:p>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（令和</w:t>
            </w:r>
            <w:r>
              <w:rPr>
                <w:rFonts w:eastAsia="ＭＳ 明朝" w:cs="" w:ascii="ＭＳ 明朝" w:hAnsi="ＭＳ 明朝" w:asciiTheme="minorEastAsia" w:hAnsiTheme="minorEastAsia"/>
                <w:kern w:val="2"/>
                <w:sz w:val="22"/>
                <w:szCs w:val="22"/>
                <w:lang w:val="en-US" w:eastAsia="ja-JP" w:bidi="ar-SA"/>
              </w:rPr>
              <w:t>4</w:t>
            </w:r>
            <w:r>
              <w:rPr>
                <w:rFonts w:ascii="ＭＳ 明朝" w:hAnsi="ＭＳ 明朝" w:cs="" w:asciiTheme="minorEastAsia" w:hAnsiTheme="minorEastAsia"/>
                <w:kern w:val="2"/>
                <w:sz w:val="22"/>
                <w:szCs w:val="22"/>
                <w:lang w:val="en-US" w:eastAsia="ja-JP" w:bidi="ar-SA"/>
              </w:rPr>
              <w:t>年</w:t>
            </w:r>
            <w:r>
              <w:rPr>
                <w:rFonts w:eastAsia="ＭＳ 明朝" w:cs="" w:ascii="ＭＳ 明朝" w:hAnsi="ＭＳ 明朝" w:asciiTheme="minorEastAsia" w:hAnsiTheme="minorEastAsia"/>
                <w:kern w:val="2"/>
                <w:sz w:val="22"/>
                <w:szCs w:val="22"/>
                <w:lang w:val="en-US" w:eastAsia="ja-JP" w:bidi="ar-SA"/>
              </w:rPr>
              <w:t>3</w:t>
            </w:r>
            <w:r>
              <w:rPr>
                <w:rFonts w:ascii="ＭＳ 明朝" w:hAnsi="ＭＳ 明朝" w:cs="" w:asciiTheme="minorEastAsia" w:hAnsiTheme="minorEastAsia"/>
                <w:kern w:val="2"/>
                <w:sz w:val="22"/>
                <w:szCs w:val="22"/>
                <w:lang w:val="en-US" w:eastAsia="ja-JP" w:bidi="ar-SA"/>
              </w:rPr>
              <w:t>月）</w:t>
            </w:r>
          </w:p>
        </w:tc>
        <w:tc>
          <w:tcPr>
            <w:tcW w:w="2520"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1,860ha</w:t>
            </w:r>
          </w:p>
        </w:tc>
        <w:tc>
          <w:tcPr>
            <w:tcW w:w="2520"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700ha</w:t>
            </w:r>
          </w:p>
        </w:tc>
        <w:tc>
          <w:tcPr>
            <w:tcW w:w="1506"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37.6</w:t>
            </w:r>
            <w:r>
              <w:rPr>
                <w:rFonts w:ascii="ＭＳ 明朝" w:hAnsi="ＭＳ 明朝" w:cs="" w:asciiTheme="minorEastAsia" w:hAnsiTheme="minorEastAsia"/>
                <w:kern w:val="2"/>
                <w:sz w:val="24"/>
                <w:szCs w:val="24"/>
                <w:lang w:val="en-US" w:eastAsia="ja-JP" w:bidi="ar-SA"/>
              </w:rPr>
              <w:t>％</w:t>
            </w:r>
          </w:p>
        </w:tc>
      </w:tr>
      <w:tr>
        <w:trPr>
          <w:trHeight w:val="984" w:hRule="atLeast"/>
        </w:trPr>
        <w:tc>
          <w:tcPr>
            <w:tcW w:w="2204" w:type="dxa"/>
            <w:tcBorders/>
            <w:vAlign w:val="center"/>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目　　標</w:t>
            </w:r>
          </w:p>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（令和</w:t>
            </w:r>
            <w:r>
              <w:rPr>
                <w:rFonts w:eastAsia="ＭＳ 明朝" w:cs="" w:ascii="ＭＳ 明朝" w:hAnsi="ＭＳ 明朝" w:asciiTheme="minorEastAsia" w:hAnsiTheme="minorEastAsia"/>
                <w:kern w:val="2"/>
                <w:sz w:val="22"/>
                <w:szCs w:val="22"/>
                <w:lang w:val="en-US" w:eastAsia="ja-JP" w:bidi="ar-SA"/>
              </w:rPr>
              <w:t>7</w:t>
            </w:r>
            <w:r>
              <w:rPr>
                <w:rFonts w:ascii="ＭＳ 明朝" w:hAnsi="ＭＳ 明朝" w:cs="" w:asciiTheme="minorEastAsia" w:hAnsiTheme="minorEastAsia"/>
                <w:kern w:val="2"/>
                <w:sz w:val="22"/>
                <w:szCs w:val="22"/>
                <w:lang w:val="en-US" w:eastAsia="ja-JP" w:bidi="ar-SA"/>
              </w:rPr>
              <w:t>年</w:t>
            </w:r>
            <w:r>
              <w:rPr>
                <w:rFonts w:eastAsia="ＭＳ 明朝" w:cs="" w:ascii="ＭＳ 明朝" w:hAnsi="ＭＳ 明朝" w:asciiTheme="minorEastAsia" w:hAnsiTheme="minorEastAsia"/>
                <w:kern w:val="2"/>
                <w:sz w:val="22"/>
                <w:szCs w:val="22"/>
                <w:lang w:val="en-US" w:eastAsia="ja-JP" w:bidi="ar-SA"/>
              </w:rPr>
              <w:t>3</w:t>
            </w:r>
            <w:r>
              <w:rPr>
                <w:rFonts w:ascii="ＭＳ 明朝" w:hAnsi="ＭＳ 明朝" w:cs="" w:asciiTheme="minorEastAsia" w:hAnsiTheme="minorEastAsia"/>
                <w:kern w:val="2"/>
                <w:sz w:val="22"/>
                <w:szCs w:val="22"/>
                <w:lang w:val="en-US" w:eastAsia="ja-JP" w:bidi="ar-SA"/>
              </w:rPr>
              <w:t>月）</w:t>
            </w:r>
          </w:p>
        </w:tc>
        <w:tc>
          <w:tcPr>
            <w:tcW w:w="2520"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1,860ha</w:t>
            </w:r>
          </w:p>
        </w:tc>
        <w:tc>
          <w:tcPr>
            <w:tcW w:w="2520"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924ha</w:t>
            </w:r>
          </w:p>
        </w:tc>
        <w:tc>
          <w:tcPr>
            <w:tcW w:w="1506"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49.7</w:t>
            </w:r>
            <w:r>
              <w:rPr>
                <w:rFonts w:ascii="ＭＳ 明朝" w:hAnsi="ＭＳ 明朝" w:cs="" w:asciiTheme="minorEastAsia" w:hAnsiTheme="minorEastAsia"/>
                <w:kern w:val="2"/>
                <w:sz w:val="24"/>
                <w:szCs w:val="24"/>
                <w:lang w:val="en-US" w:eastAsia="ja-JP" w:bidi="ar-SA"/>
              </w:rPr>
              <w:t>％</w:t>
            </w:r>
          </w:p>
        </w:tc>
      </w:tr>
    </w:tbl>
    <w:p>
      <w:pPr>
        <w:pStyle w:val="Normal"/>
        <w:ind w:left="690" w:hanging="480"/>
        <w:rPr>
          <w:rFonts w:ascii="ＭＳ 明朝" w:hAnsi="ＭＳ 明朝" w:asciiTheme="minorEastAsia" w:hAnsiTheme="minorEastAsia"/>
          <w:sz w:val="16"/>
        </w:rPr>
      </w:pPr>
      <w:r>
        <w:rPr>
          <w:rFonts w:ascii="ＭＳ 明朝" w:hAnsi="ＭＳ 明朝" w:asciiTheme="minorEastAsia" w:hAnsiTheme="minorEastAsia"/>
          <w:sz w:val="16"/>
        </w:rPr>
        <w:t>注１：「管内の農地面積」は、耕地及び作付面積統計における耕地面積。</w:t>
      </w:r>
    </w:p>
    <w:p>
      <w:pPr>
        <w:pStyle w:val="Normal"/>
        <w:ind w:left="690" w:hanging="480"/>
        <w:rPr>
          <w:rFonts w:ascii="ＭＳ 明朝" w:hAnsi="ＭＳ 明朝" w:asciiTheme="minorEastAsia" w:hAnsiTheme="minorEastAsia"/>
          <w:sz w:val="14"/>
        </w:rPr>
      </w:pPr>
      <w:r>
        <w:rPr>
          <w:rFonts w:ascii="ＭＳ 明朝" w:hAnsi="ＭＳ 明朝" w:asciiTheme="minorEastAsia" w:hAnsiTheme="minorEastAsia"/>
          <w:sz w:val="16"/>
        </w:rPr>
        <w:t>注２：「福岡県農業経営基盤の強化の促進に関する基本方針」の政策目標に基づき、担い手への農地利用集積率８０％を目標とする。</w:t>
      </w:r>
    </w:p>
    <w:p>
      <w:pPr>
        <w:pStyle w:val="Normal"/>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【参考】担い手の育成・確保に関する数値目標</w:t>
      </w:r>
    </w:p>
    <w:tbl>
      <w:tblPr>
        <w:tblStyle w:val="af1"/>
        <w:tblW w:w="8751" w:type="dxa"/>
        <w:jc w:val="left"/>
        <w:tblInd w:w="310" w:type="dxa"/>
        <w:tblLayout w:type="fixed"/>
        <w:tblCellMar>
          <w:top w:w="0" w:type="dxa"/>
          <w:left w:w="108" w:type="dxa"/>
          <w:bottom w:w="0" w:type="dxa"/>
          <w:right w:w="108" w:type="dxa"/>
        </w:tblCellMar>
        <w:tblLook w:firstRow="1" w:noVBand="1" w:lastRow="0" w:firstColumn="1" w:lastColumn="0" w:noHBand="0" w:val="04a0"/>
      </w:tblPr>
      <w:tblGrid>
        <w:gridCol w:w="1994"/>
        <w:gridCol w:w="1365"/>
        <w:gridCol w:w="1575"/>
        <w:gridCol w:w="1785"/>
        <w:gridCol w:w="2032"/>
      </w:tblGrid>
      <w:tr>
        <w:trPr/>
        <w:tc>
          <w:tcPr>
            <w:tcW w:w="1994" w:type="dxa"/>
            <w:vMerge w:val="restart"/>
            <w:tcBorders/>
          </w:tcPr>
          <w:p>
            <w:pPr>
              <w:pStyle w:val="Normal"/>
              <w:widowControl w:val="false"/>
              <w:spacing w:before="0" w:after="0"/>
              <w:rPr>
                <w:rFonts w:ascii="ＭＳ 明朝" w:hAnsi="ＭＳ 明朝" w:asciiTheme="minorEastAsia" w:hAnsiTheme="minorEastAsia"/>
                <w:sz w:val="22"/>
              </w:rPr>
            </w:pPr>
            <w:r>
              <w:rPr>
                <w:rFonts w:eastAsia="ＭＳ 明朝" w:cs="" w:ascii="ＭＳ 明朝" w:hAnsi="ＭＳ 明朝"/>
                <w:kern w:val="2"/>
                <w:sz w:val="22"/>
                <w:szCs w:val="22"/>
                <w:lang w:val="en-US" w:eastAsia="ja-JP" w:bidi="ar-SA"/>
              </w:rPr>
            </w:r>
          </w:p>
        </w:tc>
        <w:tc>
          <w:tcPr>
            <w:tcW w:w="1365" w:type="dxa"/>
            <w:vMerge w:val="restart"/>
            <w:tcBorders/>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総農家数（うち主業農家数）</w:t>
            </w:r>
          </w:p>
        </w:tc>
        <w:tc>
          <w:tcPr>
            <w:tcW w:w="5392" w:type="dxa"/>
            <w:gridSpan w:val="3"/>
            <w:tcBorders/>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担い手</w:t>
            </w:r>
          </w:p>
        </w:tc>
      </w:tr>
      <w:tr>
        <w:trPr/>
        <w:tc>
          <w:tcPr>
            <w:tcW w:w="1994" w:type="dxa"/>
            <w:vMerge w:val="continue"/>
            <w:tcBorders/>
          </w:tcPr>
          <w:p>
            <w:pPr>
              <w:pStyle w:val="Normal"/>
              <w:widowControl w:val="false"/>
              <w:spacing w:before="0" w:after="0"/>
              <w:rPr>
                <w:rFonts w:ascii="ＭＳ 明朝" w:hAnsi="ＭＳ 明朝" w:asciiTheme="minorEastAsia" w:hAnsiTheme="minorEastAsia"/>
                <w:sz w:val="22"/>
              </w:rPr>
            </w:pPr>
            <w:r>
              <w:rPr>
                <w:rFonts w:eastAsia="ＭＳ 明朝" w:cs="" w:ascii="ＭＳ 明朝" w:hAnsi="ＭＳ 明朝"/>
                <w:kern w:val="2"/>
                <w:sz w:val="22"/>
                <w:szCs w:val="22"/>
                <w:lang w:val="en-US" w:eastAsia="ja-JP" w:bidi="ar-SA"/>
              </w:rPr>
            </w:r>
          </w:p>
        </w:tc>
        <w:tc>
          <w:tcPr>
            <w:tcW w:w="1365" w:type="dxa"/>
            <w:vMerge w:val="continue"/>
            <w:tcBorders/>
          </w:tcPr>
          <w:p>
            <w:pPr>
              <w:pStyle w:val="Normal"/>
              <w:widowControl w:val="false"/>
              <w:spacing w:before="0" w:after="0"/>
              <w:jc w:val="center"/>
              <w:rPr>
                <w:rFonts w:ascii="ＭＳ 明朝" w:hAnsi="ＭＳ 明朝" w:asciiTheme="minorEastAsia" w:hAnsiTheme="minorEastAsia"/>
                <w:sz w:val="22"/>
              </w:rPr>
            </w:pPr>
            <w:r>
              <w:rPr>
                <w:rFonts w:eastAsia="ＭＳ 明朝" w:cs="" w:ascii="ＭＳ 明朝" w:hAnsi="ＭＳ 明朝"/>
                <w:kern w:val="2"/>
                <w:sz w:val="22"/>
                <w:szCs w:val="22"/>
                <w:lang w:val="en-US" w:eastAsia="ja-JP" w:bidi="ar-SA"/>
              </w:rPr>
            </w:r>
          </w:p>
        </w:tc>
        <w:tc>
          <w:tcPr>
            <w:tcW w:w="1575" w:type="dxa"/>
            <w:tcBorders/>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認定農業者</w:t>
            </w:r>
          </w:p>
        </w:tc>
        <w:tc>
          <w:tcPr>
            <w:tcW w:w="1785" w:type="dxa"/>
            <w:tcBorders/>
          </w:tcPr>
          <w:p>
            <w:pPr>
              <w:pStyle w:val="Normal"/>
              <w:widowControl w:val="false"/>
              <w:spacing w:before="0" w:after="0"/>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認定新規就農者</w:t>
            </w:r>
          </w:p>
          <w:p>
            <w:pPr>
              <w:pStyle w:val="Normal"/>
              <w:widowControl w:val="false"/>
              <w:spacing w:before="0" w:after="0"/>
              <w:jc w:val="center"/>
              <w:rPr>
                <w:rFonts w:ascii="ＭＳ 明朝" w:hAnsi="ＭＳ 明朝" w:asciiTheme="minorEastAsia" w:hAnsiTheme="minorEastAsia"/>
                <w:sz w:val="22"/>
              </w:rPr>
            </w:pPr>
            <w:r>
              <w:rPr>
                <w:rFonts w:eastAsia="ＭＳ 明朝" w:cs="" w:ascii="ＭＳ 明朝" w:hAnsi="ＭＳ 明朝"/>
                <w:kern w:val="2"/>
                <w:sz w:val="22"/>
                <w:szCs w:val="22"/>
                <w:lang w:val="en-US" w:eastAsia="ja-JP" w:bidi="ar-SA"/>
              </w:rPr>
            </w:r>
          </w:p>
        </w:tc>
        <w:tc>
          <w:tcPr>
            <w:tcW w:w="2032" w:type="dxa"/>
            <w:tcBorders/>
          </w:tcPr>
          <w:p>
            <w:pPr>
              <w:pStyle w:val="Normal"/>
              <w:widowControl w:val="false"/>
              <w:spacing w:before="0" w:after="0"/>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特定農業団その他の集落営農組織</w:t>
            </w:r>
          </w:p>
        </w:tc>
      </w:tr>
      <w:tr>
        <w:trPr>
          <w:trHeight w:val="1148" w:hRule="atLeast"/>
        </w:trPr>
        <w:tc>
          <w:tcPr>
            <w:tcW w:w="1994" w:type="dxa"/>
            <w:tcBorders/>
            <w:vAlign w:val="center"/>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当　　初</w:t>
            </w:r>
          </w:p>
          <w:p>
            <w:pPr>
              <w:pStyle w:val="Normal"/>
              <w:widowControl w:val="false"/>
              <w:spacing w:before="0" w:after="0"/>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（平成</w:t>
            </w:r>
            <w:r>
              <w:rPr>
                <w:rFonts w:eastAsia="ＭＳ 明朝" w:cs="" w:ascii="ＭＳ 明朝" w:hAnsi="ＭＳ 明朝" w:asciiTheme="minorEastAsia" w:hAnsiTheme="minorEastAsia"/>
                <w:kern w:val="2"/>
                <w:sz w:val="22"/>
                <w:szCs w:val="22"/>
                <w:lang w:val="en-US" w:eastAsia="ja-JP" w:bidi="ar-SA"/>
              </w:rPr>
              <w:t>28</w:t>
            </w:r>
            <w:r>
              <w:rPr>
                <w:rFonts w:ascii="ＭＳ 明朝" w:hAnsi="ＭＳ 明朝" w:cs="" w:asciiTheme="minorEastAsia" w:hAnsiTheme="minorEastAsia"/>
                <w:kern w:val="2"/>
                <w:sz w:val="22"/>
                <w:szCs w:val="22"/>
                <w:lang w:val="en-US" w:eastAsia="ja-JP" w:bidi="ar-SA"/>
              </w:rPr>
              <w:t>年</w:t>
            </w:r>
            <w:r>
              <w:rPr>
                <w:rFonts w:eastAsia="ＭＳ 明朝" w:cs="" w:ascii="ＭＳ 明朝" w:hAnsi="ＭＳ 明朝" w:asciiTheme="minorEastAsia" w:hAnsiTheme="minorEastAsia"/>
                <w:kern w:val="2"/>
                <w:sz w:val="22"/>
                <w:szCs w:val="22"/>
                <w:lang w:val="en-US" w:eastAsia="ja-JP" w:bidi="ar-SA"/>
              </w:rPr>
              <w:t>3</w:t>
            </w:r>
            <w:r>
              <w:rPr>
                <w:rFonts w:ascii="ＭＳ 明朝" w:hAnsi="ＭＳ 明朝" w:cs="" w:asciiTheme="minorEastAsia" w:hAnsiTheme="minorEastAsia"/>
                <w:kern w:val="2"/>
                <w:sz w:val="22"/>
                <w:szCs w:val="22"/>
                <w:lang w:val="en-US" w:eastAsia="ja-JP" w:bidi="ar-SA"/>
              </w:rPr>
              <w:t>月）</w:t>
            </w:r>
          </w:p>
        </w:tc>
        <w:tc>
          <w:tcPr>
            <w:tcW w:w="1365"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1,076</w:t>
            </w:r>
            <w:r>
              <w:rPr>
                <w:rFonts w:ascii="ＭＳ 明朝" w:hAnsi="ＭＳ 明朝" w:cs="" w:asciiTheme="minorEastAsia" w:hAnsiTheme="minorEastAsia"/>
                <w:kern w:val="2"/>
                <w:sz w:val="24"/>
                <w:szCs w:val="24"/>
                <w:lang w:val="en-US" w:eastAsia="ja-JP" w:bidi="ar-SA"/>
              </w:rPr>
              <w:t>戸</w:t>
            </w:r>
          </w:p>
          <w:p>
            <w:pPr>
              <w:pStyle w:val="Normal"/>
              <w:widowControl w:val="false"/>
              <w:spacing w:before="0" w:after="0"/>
              <w:jc w:val="right"/>
              <w:rPr>
                <w:rFonts w:ascii="ＭＳ 明朝" w:hAnsi="ＭＳ 明朝" w:asciiTheme="minorEastAsia" w:hAnsiTheme="minorEastAsia"/>
                <w:sz w:val="24"/>
                <w:szCs w:val="24"/>
              </w:rPr>
            </w:pPr>
            <w:r>
              <w:rPr>
                <w:rFonts w:ascii="ＭＳ 明朝" w:hAnsi="ＭＳ 明朝" w:cs="" w:asciiTheme="minorEastAsia" w:hAnsiTheme="minorEastAsia"/>
                <w:kern w:val="2"/>
                <w:sz w:val="24"/>
                <w:szCs w:val="24"/>
                <w:lang w:val="en-US" w:eastAsia="ja-JP" w:bidi="ar-SA"/>
              </w:rPr>
              <w:t>（</w:t>
            </w:r>
            <w:r>
              <w:rPr>
                <w:rFonts w:eastAsia="ＭＳ 明朝" w:cs="" w:ascii="ＭＳ 明朝" w:hAnsi="ＭＳ 明朝" w:asciiTheme="minorEastAsia" w:hAnsiTheme="minorEastAsia"/>
                <w:kern w:val="2"/>
                <w:sz w:val="24"/>
                <w:szCs w:val="24"/>
                <w:lang w:val="en-US" w:eastAsia="ja-JP" w:bidi="ar-SA"/>
              </w:rPr>
              <w:t>149</w:t>
            </w:r>
            <w:r>
              <w:rPr>
                <w:rFonts w:ascii="ＭＳ 明朝" w:hAnsi="ＭＳ 明朝" w:cs="" w:asciiTheme="minorEastAsia" w:hAnsiTheme="minorEastAsia"/>
                <w:kern w:val="2"/>
                <w:sz w:val="24"/>
                <w:szCs w:val="24"/>
                <w:lang w:val="en-US" w:eastAsia="ja-JP" w:bidi="ar-SA"/>
              </w:rPr>
              <w:t>戸）</w:t>
            </w:r>
          </w:p>
        </w:tc>
        <w:tc>
          <w:tcPr>
            <w:tcW w:w="1575"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94</w:t>
            </w:r>
            <w:r>
              <w:rPr>
                <w:rFonts w:ascii="ＭＳ 明朝" w:hAnsi="ＭＳ 明朝" w:cs="" w:asciiTheme="minorEastAsia" w:hAnsiTheme="minorEastAsia"/>
                <w:kern w:val="2"/>
                <w:sz w:val="24"/>
                <w:szCs w:val="24"/>
                <w:lang w:val="en-US" w:eastAsia="ja-JP" w:bidi="ar-SA"/>
              </w:rPr>
              <w:t>経営体</w:t>
            </w:r>
          </w:p>
        </w:tc>
        <w:tc>
          <w:tcPr>
            <w:tcW w:w="1785"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10</w:t>
            </w:r>
            <w:r>
              <w:rPr>
                <w:rFonts w:ascii="ＭＳ 明朝" w:hAnsi="ＭＳ 明朝" w:cs="" w:asciiTheme="minorEastAsia" w:hAnsiTheme="minorEastAsia"/>
                <w:kern w:val="2"/>
                <w:sz w:val="24"/>
                <w:szCs w:val="24"/>
                <w:lang w:val="en-US" w:eastAsia="ja-JP" w:bidi="ar-SA"/>
              </w:rPr>
              <w:t>経営体</w:t>
            </w:r>
          </w:p>
        </w:tc>
        <w:tc>
          <w:tcPr>
            <w:tcW w:w="2032"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13</w:t>
            </w:r>
            <w:r>
              <w:rPr>
                <w:rFonts w:ascii="ＭＳ 明朝" w:hAnsi="ＭＳ 明朝" w:cs="" w:asciiTheme="minorEastAsia" w:hAnsiTheme="minorEastAsia"/>
                <w:kern w:val="2"/>
                <w:sz w:val="24"/>
                <w:szCs w:val="24"/>
                <w:lang w:val="en-US" w:eastAsia="ja-JP" w:bidi="ar-SA"/>
              </w:rPr>
              <w:t>経営体</w:t>
            </w:r>
          </w:p>
        </w:tc>
      </w:tr>
      <w:tr>
        <w:trPr>
          <w:trHeight w:val="1025" w:hRule="atLeast"/>
        </w:trPr>
        <w:tc>
          <w:tcPr>
            <w:tcW w:w="1994" w:type="dxa"/>
            <w:tcBorders/>
            <w:vAlign w:val="center"/>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現 　状</w:t>
            </w:r>
          </w:p>
          <w:p>
            <w:pPr>
              <w:pStyle w:val="Normal"/>
              <w:widowControl w:val="false"/>
              <w:spacing w:before="0" w:after="0"/>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（令和</w:t>
            </w:r>
            <w:r>
              <w:rPr>
                <w:rFonts w:eastAsia="ＭＳ 明朝" w:cs="" w:ascii="ＭＳ 明朝" w:hAnsi="ＭＳ 明朝" w:asciiTheme="minorEastAsia" w:hAnsiTheme="minorEastAsia"/>
                <w:kern w:val="2"/>
                <w:sz w:val="22"/>
                <w:szCs w:val="22"/>
                <w:lang w:val="en-US" w:eastAsia="ja-JP" w:bidi="ar-SA"/>
              </w:rPr>
              <w:t>4</w:t>
            </w:r>
            <w:r>
              <w:rPr>
                <w:rFonts w:ascii="ＭＳ 明朝" w:hAnsi="ＭＳ 明朝" w:cs="" w:asciiTheme="minorEastAsia" w:hAnsiTheme="minorEastAsia"/>
                <w:kern w:val="2"/>
                <w:sz w:val="22"/>
                <w:szCs w:val="22"/>
                <w:lang w:val="en-US" w:eastAsia="ja-JP" w:bidi="ar-SA"/>
              </w:rPr>
              <w:t>年</w:t>
            </w:r>
            <w:r>
              <w:rPr>
                <w:rFonts w:eastAsia="ＭＳ 明朝" w:cs="" w:ascii="ＭＳ 明朝" w:hAnsi="ＭＳ 明朝" w:asciiTheme="minorEastAsia" w:hAnsiTheme="minorEastAsia"/>
                <w:kern w:val="2"/>
                <w:sz w:val="22"/>
                <w:szCs w:val="22"/>
                <w:lang w:val="en-US" w:eastAsia="ja-JP" w:bidi="ar-SA"/>
              </w:rPr>
              <w:t>3</w:t>
            </w:r>
            <w:r>
              <w:rPr>
                <w:rFonts w:ascii="ＭＳ 明朝" w:hAnsi="ＭＳ 明朝" w:cs="" w:asciiTheme="minorEastAsia" w:hAnsiTheme="minorEastAsia"/>
                <w:kern w:val="2"/>
                <w:sz w:val="22"/>
                <w:szCs w:val="22"/>
                <w:lang w:val="en-US" w:eastAsia="ja-JP" w:bidi="ar-SA"/>
              </w:rPr>
              <w:t>月）</w:t>
            </w:r>
          </w:p>
        </w:tc>
        <w:tc>
          <w:tcPr>
            <w:tcW w:w="1365"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860</w:t>
            </w:r>
            <w:r>
              <w:rPr>
                <w:rFonts w:ascii="ＭＳ 明朝" w:hAnsi="ＭＳ 明朝" w:cs="" w:asciiTheme="minorEastAsia" w:hAnsiTheme="minorEastAsia"/>
                <w:kern w:val="2"/>
                <w:sz w:val="24"/>
                <w:szCs w:val="24"/>
                <w:lang w:val="en-US" w:eastAsia="ja-JP" w:bidi="ar-SA"/>
              </w:rPr>
              <w:t>戸</w:t>
            </w:r>
          </w:p>
          <w:p>
            <w:pPr>
              <w:pStyle w:val="Normal"/>
              <w:widowControl w:val="false"/>
              <w:spacing w:before="0" w:after="0"/>
              <w:jc w:val="right"/>
              <w:rPr>
                <w:rFonts w:ascii="ＭＳ 明朝" w:hAnsi="ＭＳ 明朝" w:asciiTheme="minorEastAsia" w:hAnsiTheme="minorEastAsia"/>
                <w:sz w:val="24"/>
                <w:szCs w:val="24"/>
              </w:rPr>
            </w:pPr>
            <w:r>
              <w:rPr>
                <w:rFonts w:ascii="ＭＳ 明朝" w:hAnsi="ＭＳ 明朝" w:cs="" w:asciiTheme="minorEastAsia" w:hAnsiTheme="minorEastAsia"/>
                <w:kern w:val="2"/>
                <w:sz w:val="24"/>
                <w:szCs w:val="24"/>
                <w:lang w:val="en-US" w:eastAsia="ja-JP" w:bidi="ar-SA"/>
              </w:rPr>
              <w:t>（</w:t>
            </w:r>
            <w:r>
              <w:rPr>
                <w:rFonts w:eastAsia="ＭＳ 明朝" w:cs="" w:ascii="ＭＳ 明朝" w:hAnsi="ＭＳ 明朝" w:asciiTheme="minorEastAsia" w:hAnsiTheme="minorEastAsia"/>
                <w:kern w:val="2"/>
                <w:sz w:val="24"/>
                <w:szCs w:val="24"/>
                <w:lang w:val="en-US" w:eastAsia="ja-JP" w:bidi="ar-SA"/>
              </w:rPr>
              <w:t>108</w:t>
            </w:r>
            <w:r>
              <w:rPr>
                <w:rFonts w:ascii="ＭＳ 明朝" w:hAnsi="ＭＳ 明朝" w:cs="" w:asciiTheme="minorEastAsia" w:hAnsiTheme="minorEastAsia"/>
                <w:kern w:val="2"/>
                <w:sz w:val="24"/>
                <w:szCs w:val="24"/>
                <w:lang w:val="en-US" w:eastAsia="ja-JP" w:bidi="ar-SA"/>
              </w:rPr>
              <w:t>戸）</w:t>
            </w:r>
          </w:p>
        </w:tc>
        <w:tc>
          <w:tcPr>
            <w:tcW w:w="1575"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86</w:t>
            </w:r>
            <w:r>
              <w:rPr>
                <w:rFonts w:ascii="ＭＳ 明朝" w:hAnsi="ＭＳ 明朝" w:cs="" w:asciiTheme="minorEastAsia" w:hAnsiTheme="minorEastAsia"/>
                <w:kern w:val="2"/>
                <w:sz w:val="24"/>
                <w:szCs w:val="24"/>
                <w:lang w:val="en-US" w:eastAsia="ja-JP" w:bidi="ar-SA"/>
              </w:rPr>
              <w:t>経営体</w:t>
            </w:r>
          </w:p>
        </w:tc>
        <w:tc>
          <w:tcPr>
            <w:tcW w:w="1785"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9</w:t>
            </w:r>
            <w:r>
              <w:rPr>
                <w:rFonts w:ascii="ＭＳ 明朝" w:hAnsi="ＭＳ 明朝" w:cs="" w:asciiTheme="minorEastAsia" w:hAnsiTheme="minorEastAsia"/>
                <w:kern w:val="2"/>
                <w:sz w:val="24"/>
                <w:szCs w:val="24"/>
                <w:lang w:val="en-US" w:eastAsia="ja-JP" w:bidi="ar-SA"/>
              </w:rPr>
              <w:t>経営体</w:t>
            </w:r>
          </w:p>
        </w:tc>
        <w:tc>
          <w:tcPr>
            <w:tcW w:w="2032" w:type="dxa"/>
            <w:tcBorders/>
            <w:vAlign w:val="center"/>
          </w:tcPr>
          <w:p>
            <w:pPr>
              <w:pStyle w:val="Normal"/>
              <w:widowControl w:val="false"/>
              <w:spacing w:before="0" w:after="0"/>
              <w:jc w:val="right"/>
              <w:rPr>
                <w:rFonts w:ascii="ＭＳ 明朝" w:hAnsi="ＭＳ 明朝" w:asciiTheme="minorEastAsia" w:hAnsiTheme="minorEastAsia"/>
                <w:sz w:val="24"/>
                <w:szCs w:val="24"/>
              </w:rPr>
            </w:pPr>
            <w:r>
              <w:rPr>
                <w:rFonts w:eastAsia="ＭＳ 明朝" w:cs="" w:ascii="ＭＳ 明朝" w:hAnsi="ＭＳ 明朝" w:asciiTheme="minorEastAsia" w:hAnsiTheme="minorEastAsia"/>
                <w:kern w:val="2"/>
                <w:sz w:val="24"/>
                <w:szCs w:val="24"/>
                <w:lang w:val="en-US" w:eastAsia="ja-JP" w:bidi="ar-SA"/>
              </w:rPr>
              <w:t>13</w:t>
            </w:r>
            <w:r>
              <w:rPr>
                <w:rFonts w:ascii="ＭＳ 明朝" w:hAnsi="ＭＳ 明朝" w:cs="" w:asciiTheme="minorEastAsia" w:hAnsiTheme="minorEastAsia"/>
                <w:kern w:val="2"/>
                <w:sz w:val="24"/>
                <w:szCs w:val="24"/>
                <w:lang w:val="en-US" w:eastAsia="ja-JP" w:bidi="ar-SA"/>
              </w:rPr>
              <w:t>経営体</w:t>
            </w:r>
          </w:p>
        </w:tc>
      </w:tr>
    </w:tbl>
    <w:p>
      <w:pPr>
        <w:pStyle w:val="Normal"/>
        <w:ind w:left="610" w:hanging="400"/>
        <w:rPr>
          <w:rFonts w:ascii="ＭＳ 明朝" w:hAnsi="ＭＳ 明朝" w:asciiTheme="minorEastAsia" w:hAnsiTheme="minorEastAsia"/>
          <w:sz w:val="16"/>
        </w:rPr>
      </w:pPr>
      <w:r>
        <w:rPr>
          <w:rFonts w:ascii="ＭＳ 明朝" w:hAnsi="ＭＳ 明朝" w:asciiTheme="minorEastAsia" w:hAnsiTheme="minorEastAsia"/>
          <w:sz w:val="16"/>
        </w:rPr>
        <w:t>注１：「担い手の育成・確保」の数値は、農業委員会の区域内の農家数等を確認し、それらを基に「担い手への農地利用集積目標」を定めるための参考値である。</w:t>
      </w:r>
    </w:p>
    <w:p>
      <w:pPr>
        <w:pStyle w:val="Normal"/>
        <w:ind w:left="585" w:hanging="480"/>
        <w:rPr>
          <w:rFonts w:ascii="ＭＳ 明朝" w:hAnsi="ＭＳ 明朝" w:asciiTheme="minorEastAsia" w:hAnsiTheme="minorEastAsia"/>
          <w:sz w:val="16"/>
        </w:rPr>
      </w:pPr>
      <w:r>
        <w:rPr>
          <w:rFonts w:ascii="ＭＳ 明朝" w:hAnsi="ＭＳ 明朝" w:asciiTheme="minorEastAsia" w:hAnsiTheme="minorEastAsia"/>
          <w:sz w:val="16"/>
        </w:rPr>
        <w:t xml:space="preserve"> </w:t>
      </w:r>
      <w:r>
        <w:rPr>
          <w:rFonts w:ascii="ＭＳ 明朝" w:hAnsi="ＭＳ 明朝" w:asciiTheme="minorEastAsia" w:hAnsiTheme="minorEastAsia"/>
          <w:sz w:val="16"/>
        </w:rPr>
        <w:t>注２：「総農家数（うち、主業農家数）」は、当初は農林業センサスの</w:t>
      </w:r>
      <w:r>
        <w:rPr>
          <w:rFonts w:ascii="ＭＳ 明朝" w:hAnsi="ＭＳ 明朝" w:asciiTheme="minorEastAsia" w:hAnsiTheme="minorEastAsia"/>
          <w:sz w:val="16"/>
        </w:rPr>
        <w:t>2010</w:t>
      </w:r>
      <w:r>
        <w:rPr>
          <w:rFonts w:ascii="ＭＳ 明朝" w:hAnsi="ＭＳ 明朝" w:asciiTheme="minorEastAsia" w:hAnsiTheme="minorEastAsia"/>
          <w:sz w:val="16"/>
        </w:rPr>
        <w:t>年数値を、現状は</w:t>
      </w:r>
      <w:r>
        <w:rPr>
          <w:rFonts w:ascii="ＭＳ 明朝" w:hAnsi="ＭＳ 明朝" w:asciiTheme="minorEastAsia" w:hAnsiTheme="minorEastAsia"/>
          <w:sz w:val="16"/>
        </w:rPr>
        <w:t>2020</w:t>
      </w:r>
      <w:r>
        <w:rPr>
          <w:rFonts w:ascii="ＭＳ 明朝" w:hAnsi="ＭＳ 明朝" w:asciiTheme="minorEastAsia" w:hAnsiTheme="minorEastAsia"/>
          <w:sz w:val="16"/>
        </w:rPr>
        <w:t>年数値である。</w:t>
      </w:r>
    </w:p>
    <w:p>
      <w:pPr>
        <w:pStyle w:val="Normal"/>
        <w:ind w:firstLine="240"/>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firstLine="240"/>
        <w:rPr>
          <w:rFonts w:ascii="ＭＳ ゴシック" w:hAnsi="ＭＳ ゴシック" w:eastAsia="ＭＳ ゴシック" w:asciiTheme="majorEastAsia" w:eastAsiaTheme="majorEastAsia" w:hAnsiTheme="majorEastAsia"/>
          <w:sz w:val="24"/>
          <w:szCs w:val="24"/>
        </w:rPr>
      </w:pPr>
      <w:r>
        <w:rPr>
          <w:rFonts w:ascii="ＭＳ 明朝" w:hAnsi="ＭＳ 明朝" w:asciiTheme="minorEastAsia" w:hAnsiTheme="minorEastAsia"/>
          <w:sz w:val="24"/>
          <w:szCs w:val="24"/>
        </w:rPr>
        <w:t>（</w:t>
      </w:r>
      <w:r>
        <w:rPr>
          <w:rFonts w:ascii="ＭＳ ゴシック" w:hAnsi="ＭＳ ゴシック" w:eastAsia="ＭＳ ゴシック" w:asciiTheme="majorEastAsia" w:eastAsiaTheme="majorEastAsia" w:hAnsiTheme="majorEastAsia"/>
          <w:sz w:val="24"/>
          <w:szCs w:val="24"/>
        </w:rPr>
        <w:t>２）担い手への農地利用の集積・集約化に向けた具体的な推進方法</w:t>
      </w:r>
    </w:p>
    <w:p>
      <w:pPr>
        <w:pStyle w:val="Normal"/>
        <w:spacing w:before="120" w:after="0"/>
        <w:ind w:firstLine="48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 xml:space="preserve">①  </w:t>
      </w:r>
      <w:r>
        <w:rPr>
          <w:rFonts w:ascii="ＭＳ ゴシック" w:hAnsi="ＭＳ ゴシック" w:eastAsia="ＭＳ ゴシック" w:asciiTheme="majorEastAsia" w:eastAsiaTheme="majorEastAsia" w:hAnsiTheme="majorEastAsia"/>
          <w:sz w:val="24"/>
          <w:szCs w:val="24"/>
        </w:rPr>
        <w:t>地域における農業者等の話し合いの活発化について</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市は、地域の将来の農業の在り方、将来の農地の効率的かつ総合的な利用に関する目標等を定めた「地域計画」（人・農地プラン）を策定することとされており、農業委員及び推進委員は、地域の話し合いの場に積極的に参加し、農地の出し手・受け手等の情報収集や調整に努め、農地中間管理機構等と協力して、目標地図の素案作成に取り組む。</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また、農地所有者等に対する営農意向調査を実施することで、農業委員及び推進委員による活動の強化を図りたい。</w:t>
      </w:r>
    </w:p>
    <w:p>
      <w:pPr>
        <w:pStyle w:val="Normal"/>
        <w:spacing w:before="120" w:after="0"/>
        <w:ind w:firstLine="48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②</w:t>
      </w:r>
      <w:r>
        <w:rPr>
          <w:rFonts w:ascii="ＭＳ ゴシック" w:hAnsi="ＭＳ ゴシック" w:eastAsia="ＭＳ ゴシック" w:asciiTheme="majorEastAsia" w:eastAsiaTheme="majorEastAsia" w:hAnsiTheme="majorEastAsia"/>
          <w:sz w:val="24"/>
          <w:szCs w:val="24"/>
        </w:rPr>
        <w:t>　農地中間管理機構等との連携について</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農業委員会は、嘉麻市農林振興課、農地中間管理機構、ＪＡ等と連携し、農地中間管理機構に貸付けを希望する耕作可能な遊休農地、経営の廃止・縮小を希望する高齢農家等の農地、利用権の設定期間が満了する農地等を、農業委員及び推進委員の地域活動等を通じて把握に努め、農地の出し手と受け手の意向を踏まえた農地中間管理事業との連携・活用を検討する。</w:t>
      </w:r>
    </w:p>
    <w:p>
      <w:pPr>
        <w:pStyle w:val="Normal"/>
        <w:spacing w:before="120" w:after="0"/>
        <w:ind w:firstLine="48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③</w:t>
      </w:r>
      <w:r>
        <w:rPr>
          <w:rFonts w:ascii="ＭＳ ゴシック" w:hAnsi="ＭＳ ゴシック" w:eastAsia="ＭＳ ゴシック" w:asciiTheme="majorEastAsia" w:eastAsiaTheme="majorEastAsia" w:hAnsiTheme="majorEastAsia"/>
          <w:sz w:val="24"/>
          <w:szCs w:val="24"/>
        </w:rPr>
        <w:t>　農地の利用調整と利用権設定について</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地域の農地利用の状況を踏まえ、法人等を含めた地域の担い手への農地利用の集積が進んでいる地域では、担い手の意向を踏まえた農地の集約化のための利用調整・交換と利用権の再設定を推進する。</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また、基盤整備が十分に行われていない農地では、地域の意向が整えば農地中間管理機構による県営農地整備事業の活用や特定農作業受委託等の組織化、新規参入の受入れを推進するなど、地域に応じた取り組みを推進する。</w:t>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（３）担い手への農地利用の集積・集約化の評価方法</w:t>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　　担い手への農地利用の集積・集約化の進捗状況は、農地の集積率により評価する。</w:t>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　　単年度の評価については、「農業委員会による最適化活動の推進等について」</w:t>
      </w:r>
    </w:p>
    <w:p>
      <w:pPr>
        <w:pStyle w:val="Normal"/>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　に基づく「農業委員会の農地の利用の最適化の推進の状況その他事務の実施状況</w:t>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　　の公表」のとおりとする。</w:t>
      </w:r>
    </w:p>
    <w:p>
      <w:pPr>
        <w:pStyle w:val="Normal"/>
        <w:ind w:firstLine="240"/>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Normal"/>
        <w:ind w:firstLine="24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３　新規参入の促進について</w:t>
      </w:r>
    </w:p>
    <w:p>
      <w:pPr>
        <w:pStyle w:val="Normal"/>
        <w:spacing w:before="120" w:after="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（１）新規参入の促進目標</w:t>
      </w:r>
    </w:p>
    <w:tbl>
      <w:tblPr>
        <w:tblStyle w:val="af1"/>
        <w:tblW w:w="7455" w:type="dxa"/>
        <w:jc w:val="left"/>
        <w:tblInd w:w="310" w:type="dxa"/>
        <w:tblLayout w:type="fixed"/>
        <w:tblCellMar>
          <w:top w:w="0" w:type="dxa"/>
          <w:left w:w="108" w:type="dxa"/>
          <w:bottom w:w="0" w:type="dxa"/>
          <w:right w:w="108" w:type="dxa"/>
        </w:tblCellMar>
        <w:tblLook w:firstRow="1" w:noVBand="1" w:lastRow="0" w:firstColumn="1" w:lastColumn="0" w:noHBand="0" w:val="04a0"/>
      </w:tblPr>
      <w:tblGrid>
        <w:gridCol w:w="2709"/>
        <w:gridCol w:w="4745"/>
      </w:tblGrid>
      <w:tr>
        <w:trPr/>
        <w:tc>
          <w:tcPr>
            <w:tcW w:w="2709" w:type="dxa"/>
            <w:tcBorders/>
          </w:tcPr>
          <w:p>
            <w:pPr>
              <w:pStyle w:val="Normal"/>
              <w:widowControl w:val="false"/>
              <w:spacing w:before="0" w:after="0"/>
              <w:rPr>
                <w:rFonts w:ascii="ＭＳ 明朝" w:hAnsi="ＭＳ 明朝" w:asciiTheme="minorEastAsia" w:hAnsiTheme="minorEastAsia"/>
                <w:sz w:val="22"/>
              </w:rPr>
            </w:pPr>
            <w:r>
              <w:rPr>
                <w:rFonts w:eastAsia="ＭＳ 明朝" w:cs="" w:ascii="ＭＳ 明朝" w:hAnsi="ＭＳ 明朝"/>
                <w:kern w:val="2"/>
                <w:sz w:val="22"/>
                <w:szCs w:val="22"/>
                <w:lang w:val="en-US" w:eastAsia="ja-JP" w:bidi="ar-SA"/>
              </w:rPr>
            </w:r>
          </w:p>
        </w:tc>
        <w:tc>
          <w:tcPr>
            <w:tcW w:w="4745" w:type="dxa"/>
            <w:tcBorders/>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新規参入者数</w:t>
            </w:r>
          </w:p>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（個人・法人）</w:t>
            </w:r>
          </w:p>
        </w:tc>
      </w:tr>
      <w:tr>
        <w:trPr>
          <w:trHeight w:val="732" w:hRule="atLeast"/>
        </w:trPr>
        <w:tc>
          <w:tcPr>
            <w:tcW w:w="2709" w:type="dxa"/>
            <w:tcBorders/>
            <w:vAlign w:val="center"/>
          </w:tcPr>
          <w:p>
            <w:pPr>
              <w:pStyle w:val="Normal"/>
              <w:widowControl w:val="false"/>
              <w:spacing w:before="0" w:after="0"/>
              <w:jc w:val="center"/>
              <w:rPr>
                <w:rFonts w:ascii="ＭＳ 明朝" w:hAnsi="ＭＳ 明朝" w:asciiTheme="minorEastAsia" w:hAnsiTheme="minorEastAsia"/>
                <w:sz w:val="22"/>
              </w:rPr>
            </w:pPr>
            <w:r>
              <w:rPr>
                <w:rFonts w:ascii="ＭＳ 明朝" w:hAnsi="ＭＳ 明朝" w:cs="" w:asciiTheme="minorEastAsia" w:hAnsiTheme="minorEastAsia"/>
                <w:kern w:val="2"/>
                <w:sz w:val="22"/>
                <w:szCs w:val="22"/>
                <w:lang w:val="en-US" w:eastAsia="ja-JP" w:bidi="ar-SA"/>
              </w:rPr>
              <w:t>目　　標</w:t>
            </w:r>
          </w:p>
          <w:p>
            <w:pPr>
              <w:pStyle w:val="Normal"/>
              <w:widowControl w:val="false"/>
              <w:spacing w:before="0" w:after="0"/>
              <w:jc w:val="center"/>
              <w:rPr>
                <w:rFonts w:ascii="ＭＳ 明朝" w:hAnsi="ＭＳ 明朝" w:asciiTheme="minorEastAsia" w:hAnsiTheme="minorEastAsia"/>
                <w:sz w:val="22"/>
                <w:highlight w:val="yellow"/>
              </w:rPr>
            </w:pPr>
            <w:r>
              <w:rPr>
                <w:rFonts w:ascii="ＭＳ 明朝" w:hAnsi="ＭＳ 明朝" w:cs="" w:asciiTheme="minorEastAsia" w:hAnsiTheme="minorEastAsia"/>
                <w:kern w:val="2"/>
                <w:sz w:val="22"/>
                <w:szCs w:val="22"/>
                <w:lang w:val="en-US" w:eastAsia="ja-JP" w:bidi="ar-SA"/>
              </w:rPr>
              <w:t>（令和</w:t>
            </w:r>
            <w:r>
              <w:rPr>
                <w:rFonts w:eastAsia="ＭＳ 明朝" w:cs="" w:ascii="ＭＳ 明朝" w:hAnsi="ＭＳ 明朝" w:asciiTheme="minorEastAsia" w:hAnsiTheme="minorEastAsia"/>
                <w:kern w:val="2"/>
                <w:sz w:val="22"/>
                <w:szCs w:val="22"/>
                <w:lang w:val="en-US" w:eastAsia="ja-JP" w:bidi="ar-SA"/>
              </w:rPr>
              <w:t>7</w:t>
            </w:r>
            <w:r>
              <w:rPr>
                <w:rFonts w:ascii="ＭＳ 明朝" w:hAnsi="ＭＳ 明朝" w:cs="" w:asciiTheme="minorEastAsia" w:hAnsiTheme="minorEastAsia"/>
                <w:kern w:val="2"/>
                <w:sz w:val="22"/>
                <w:szCs w:val="22"/>
                <w:lang w:val="en-US" w:eastAsia="ja-JP" w:bidi="ar-SA"/>
              </w:rPr>
              <w:t>年</w:t>
            </w:r>
            <w:r>
              <w:rPr>
                <w:rFonts w:eastAsia="ＭＳ 明朝" w:cs="" w:ascii="ＭＳ 明朝" w:hAnsi="ＭＳ 明朝" w:asciiTheme="minorEastAsia" w:hAnsiTheme="minorEastAsia"/>
                <w:kern w:val="2"/>
                <w:sz w:val="22"/>
                <w:szCs w:val="22"/>
                <w:lang w:val="en-US" w:eastAsia="ja-JP" w:bidi="ar-SA"/>
              </w:rPr>
              <w:t>3</w:t>
            </w:r>
            <w:r>
              <w:rPr>
                <w:rFonts w:ascii="ＭＳ 明朝" w:hAnsi="ＭＳ 明朝" w:cs="" w:asciiTheme="minorEastAsia" w:hAnsiTheme="minorEastAsia"/>
                <w:kern w:val="2"/>
                <w:sz w:val="22"/>
                <w:szCs w:val="22"/>
                <w:lang w:val="en-US" w:eastAsia="ja-JP" w:bidi="ar-SA"/>
              </w:rPr>
              <w:t>月）</w:t>
            </w:r>
          </w:p>
        </w:tc>
        <w:tc>
          <w:tcPr>
            <w:tcW w:w="4745" w:type="dxa"/>
            <w:tcBorders/>
            <w:vAlign w:val="center"/>
          </w:tcPr>
          <w:p>
            <w:pPr>
              <w:pStyle w:val="Normal"/>
              <w:widowControl w:val="false"/>
              <w:spacing w:before="0" w:after="0"/>
              <w:rPr>
                <w:rFonts w:ascii="ＭＳ 明朝" w:hAnsi="ＭＳ 明朝" w:asciiTheme="minorEastAsia" w:hAnsiTheme="minorEastAsia"/>
                <w:sz w:val="24"/>
                <w:szCs w:val="24"/>
                <w:highlight w:val="yellow"/>
              </w:rPr>
            </w:pPr>
            <w:r>
              <w:rPr>
                <w:rFonts w:ascii="ＭＳ 明朝" w:hAnsi="ＭＳ 明朝" w:cs="" w:asciiTheme="minorEastAsia" w:hAnsiTheme="minorEastAsia"/>
                <w:kern w:val="2"/>
                <w:sz w:val="22"/>
                <w:szCs w:val="22"/>
                <w:lang w:val="en-US" w:eastAsia="ja-JP" w:bidi="ar-SA"/>
              </w:rPr>
              <w:t>左記目標年度まで、１年間で２経営体の新規参入を目標とする。</w:t>
            </w:r>
          </w:p>
        </w:tc>
      </w:tr>
    </w:tbl>
    <w:p>
      <w:pPr>
        <w:pStyle w:val="Normal"/>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Normal"/>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（２）新規参入の促進に向けた具体的な推進方法</w:t>
      </w:r>
    </w:p>
    <w:p>
      <w:pPr>
        <w:pStyle w:val="Normal"/>
        <w:spacing w:before="120" w:after="0"/>
        <w:ind w:firstLine="48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①</w:t>
      </w:r>
      <w:r>
        <w:rPr>
          <w:rFonts w:ascii="ＭＳ ゴシック" w:hAnsi="ＭＳ ゴシック" w:eastAsia="ＭＳ ゴシック" w:asciiTheme="majorEastAsia" w:eastAsiaTheme="majorEastAsia" w:hAnsiTheme="majorEastAsia"/>
          <w:sz w:val="24"/>
          <w:szCs w:val="24"/>
        </w:rPr>
        <w:t>　関係機関との連携について</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嘉麻市農林振興課、県普及指導センター、ＪＡ等の関係機関・団体と連携、情報の共有を図り、新規就農の受入れとフォローアップ体制を整備する。</w:t>
      </w:r>
    </w:p>
    <w:p>
      <w:pPr>
        <w:pStyle w:val="Normal"/>
        <w:spacing w:before="120" w:after="0"/>
        <w:ind w:firstLine="48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②</w:t>
      </w:r>
      <w:r>
        <w:rPr>
          <w:rFonts w:ascii="ＭＳ ゴシック" w:hAnsi="ＭＳ ゴシック" w:eastAsia="ＭＳ ゴシック" w:asciiTheme="majorEastAsia" w:eastAsiaTheme="majorEastAsia" w:hAnsiTheme="majorEastAsia"/>
          <w:sz w:val="24"/>
          <w:szCs w:val="24"/>
        </w:rPr>
        <w:t>　新規就農支援事業補助金の活用について</w:t>
      </w:r>
    </w:p>
    <w:p>
      <w:pPr>
        <w:pStyle w:val="Normal"/>
        <w:ind w:left="660" w:hanging="240"/>
        <w:rPr>
          <w:rFonts w:ascii="ＭＳ 明朝" w:hAnsi="ＭＳ 明朝" w:asciiTheme="minorEastAsia" w:hAnsiTheme="minorEastAsia"/>
          <w:sz w:val="24"/>
          <w:szCs w:val="24"/>
        </w:rPr>
      </w:pPr>
      <w:r>
        <w:rPr>
          <w:rFonts w:ascii="ＭＳ 明朝" w:hAnsi="ＭＳ 明朝" w:asciiTheme="minorEastAsia" w:hAnsiTheme="minorEastAsia"/>
          <w:sz w:val="24"/>
          <w:szCs w:val="24"/>
        </w:rPr>
        <w:t>　　嘉麻市農林振興課が行う新規就農支援事業補助金を活用し、新規就農者への支援を促進する。</w:t>
      </w:r>
    </w:p>
    <w:p>
      <w:pPr>
        <w:pStyle w:val="Normal"/>
        <w:spacing w:before="120" w:after="0"/>
        <w:ind w:firstLine="48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③</w:t>
      </w:r>
      <w:r>
        <w:rPr>
          <w:rFonts w:ascii="ＭＳ ゴシック" w:hAnsi="ＭＳ ゴシック" w:eastAsia="ＭＳ ゴシック" w:asciiTheme="majorEastAsia" w:eastAsiaTheme="majorEastAsia" w:hAnsiTheme="majorEastAsia"/>
          <w:sz w:val="24"/>
          <w:szCs w:val="24"/>
        </w:rPr>
        <w:t>　農業委員会のフォローアップ活動について</w:t>
      </w:r>
    </w:p>
    <w:p>
      <w:pPr>
        <w:pStyle w:val="Normal"/>
        <w:ind w:left="720" w:hanging="720"/>
        <w:rPr>
          <w:rFonts w:ascii="ＭＳ 明朝" w:hAnsi="ＭＳ 明朝" w:asciiTheme="minorEastAsia" w:hAnsiTheme="minorEastAsia"/>
          <w:sz w:val="24"/>
          <w:szCs w:val="24"/>
        </w:rPr>
      </w:pPr>
      <w:r>
        <w:rPr>
          <w:rFonts w:ascii="ＭＳ 明朝" w:hAnsi="ＭＳ 明朝" w:asciiTheme="minorEastAsia" w:hAnsiTheme="minorEastAsia"/>
          <w:sz w:val="24"/>
          <w:szCs w:val="24"/>
        </w:rPr>
        <w:t>　　　　推進委員が認定新規就農者に対してのサポートチームの構成員となり、就農後の「農地」の相談や指導等の支援を行う。</w:t>
      </w:r>
    </w:p>
    <w:p>
      <w:pPr>
        <w:pStyle w:val="Normal"/>
        <w:ind w:left="720" w:hanging="720"/>
        <w:rPr>
          <w:rFonts w:ascii="ＭＳ 明朝" w:hAnsi="ＭＳ 明朝" w:asciiTheme="minorEastAsia" w:hAnsiTheme="minorEastAsia"/>
          <w:sz w:val="24"/>
          <w:szCs w:val="24"/>
        </w:rPr>
      </w:pPr>
      <w:r>
        <w:rPr>
          <w:rFonts w:ascii="ＭＳ 明朝" w:hAnsi="ＭＳ 明朝" w:asciiTheme="minorEastAsia" w:hAnsiTheme="minorEastAsia"/>
          <w:sz w:val="24"/>
          <w:szCs w:val="24"/>
        </w:rPr>
        <w:t>　　　　また、新規就農者への支援を促進するため、新たに嘉麻市農地バンクの創設を検討する。</w:t>
      </w:r>
    </w:p>
    <w:p>
      <w:pPr>
        <w:pStyle w:val="Normal"/>
        <w:spacing w:before="120" w:after="0"/>
        <w:ind w:left="720" w:hanging="720"/>
        <w:rPr>
          <w:rFonts w:ascii="ＭＳ 明朝" w:hAnsi="ＭＳ 明朝" w:asciiTheme="minorEastAsia" w:hAnsiTheme="minorEastAsia"/>
          <w:sz w:val="24"/>
          <w:szCs w:val="24"/>
        </w:rPr>
      </w:pPr>
      <w:r>
        <w:rPr>
          <w:rFonts w:ascii="ＭＳ 明朝" w:hAnsi="ＭＳ 明朝" w:asciiTheme="minorEastAsia" w:hAnsiTheme="minorEastAsia"/>
          <w:sz w:val="24"/>
          <w:szCs w:val="24"/>
        </w:rPr>
        <w:t>（３）新規参入の促進の評価方法</w:t>
      </w:r>
    </w:p>
    <w:p>
      <w:pPr>
        <w:pStyle w:val="Normal"/>
        <w:spacing w:before="120" w:after="0"/>
        <w:ind w:left="720" w:hanging="720"/>
        <w:rPr>
          <w:rFonts w:ascii="ＭＳ 明朝" w:hAnsi="ＭＳ 明朝" w:asciiTheme="minorEastAsia" w:hAnsiTheme="minorEastAsia"/>
          <w:sz w:val="24"/>
          <w:szCs w:val="24"/>
        </w:rPr>
      </w:pPr>
      <w:r>
        <w:rPr>
          <w:rFonts w:ascii="ＭＳ 明朝" w:hAnsi="ＭＳ 明朝" w:asciiTheme="minorEastAsia" w:hAnsiTheme="minorEastAsia"/>
          <w:sz w:val="24"/>
          <w:szCs w:val="24"/>
        </w:rPr>
        <w:t>　　新規参入の促進の進捗状況は、新規参入者（個人、法人）の数により評価する。</w:t>
      </w:r>
    </w:p>
    <w:p>
      <w:pPr>
        <w:pStyle w:val="Normal"/>
        <w:ind w:left="720" w:hanging="720"/>
        <w:rPr>
          <w:rFonts w:ascii="ＭＳ 明朝" w:hAnsi="ＭＳ 明朝" w:asciiTheme="minorEastAsia" w:hAnsiTheme="minorEastAsia"/>
          <w:sz w:val="24"/>
          <w:szCs w:val="24"/>
        </w:rPr>
      </w:pPr>
      <w:r>
        <w:rPr>
          <w:rFonts w:ascii="ＭＳ 明朝" w:hAnsi="ＭＳ 明朝" w:asciiTheme="minorEastAsia" w:hAnsiTheme="minorEastAsia"/>
          <w:sz w:val="24"/>
          <w:szCs w:val="24"/>
        </w:rPr>
        <w:t>　　単年度の評価については、「農業委員会による最適化活動の推進等について」に</w:t>
      </w:r>
    </w:p>
    <w:p>
      <w:pPr>
        <w:pStyle w:val="Normal"/>
        <w:ind w:left="720" w:hanging="720"/>
        <w:rPr>
          <w:rFonts w:ascii="ＭＳ 明朝" w:hAnsi="ＭＳ 明朝" w:asciiTheme="minorEastAsia" w:hAnsiTheme="minorEastAsia"/>
          <w:sz w:val="24"/>
          <w:szCs w:val="24"/>
        </w:rPr>
      </w:pPr>
      <w:r>
        <w:rPr>
          <w:rFonts w:ascii="ＭＳ 明朝" w:hAnsi="ＭＳ 明朝" w:asciiTheme="minorEastAsia" w:hAnsiTheme="minorEastAsia"/>
          <w:sz w:val="24"/>
          <w:szCs w:val="24"/>
        </w:rPr>
        <w:t>　基づく「農業委員会の農地利用の最適化の推進の状況その他事務の実施状況の公表」</w:t>
      </w:r>
    </w:p>
    <w:p>
      <w:pPr>
        <w:pStyle w:val="Normal"/>
        <w:ind w:left="720" w:hanging="720"/>
        <w:rPr>
          <w:rFonts w:ascii="ＭＳ 明朝" w:hAnsi="ＭＳ 明朝" w:asciiTheme="minorEastAsia" w:hAnsiTheme="minorEastAsia"/>
          <w:sz w:val="24"/>
          <w:szCs w:val="24"/>
        </w:rPr>
      </w:pPr>
      <w:r>
        <w:rPr>
          <w:rFonts w:ascii="ＭＳ 明朝" w:hAnsi="ＭＳ 明朝" w:asciiTheme="minorEastAsia" w:hAnsiTheme="minorEastAsia"/>
          <w:sz w:val="24"/>
          <w:szCs w:val="24"/>
        </w:rPr>
        <w:t>　のとおりとする。</w:t>
      </w:r>
    </w:p>
    <w:sectPr>
      <w:footerReference w:type="default" r:id="rId2"/>
      <w:type w:val="nextPage"/>
      <w:pgSz w:w="11906" w:h="16838"/>
      <w:pgMar w:left="1418" w:right="1418" w:gutter="0" w:header="0" w:top="1021" w:footer="340" w:bottom="964"/>
      <w:pgNumType w:fmt="decimal"/>
      <w:formProt w:val="false"/>
      <w:textDirection w:val="lrTb"/>
      <w:docGrid w:type="lines" w:linePitch="449"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ftr>
</file>

<file path=word/settings.xml><?xml version="1.0" encoding="utf-8"?>
<w:settings xmlns:w="http://schemas.openxmlformats.org/wordprocessingml/2006/main">
  <w:zoom w:percent="100"/>
  <w:mirrorMargin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1">
    <w:name w:val="Heading 1"/>
    <w:basedOn w:val="Normal"/>
    <w:next w:val="Normal"/>
    <w:link w:val="11"/>
    <w:uiPriority w:val="9"/>
    <w:qFormat/>
    <w:pPr>
      <w:keepNext w:val="true"/>
      <w:outlineLvl w:val="0"/>
    </w:pPr>
    <w:rPr>
      <w:rFonts w:ascii="Arial" w:hAnsi="Arial" w:eastAsia="ＭＳ ゴシック" w:cs="" w:asciiTheme="majorHAnsi" w:cstheme="majorBidi" w:eastAsiaTheme="majorEastAsia" w:hAnsiTheme="majorHAnsi"/>
      <w:sz w:val="24"/>
      <w:szCs w:val="24"/>
    </w:rPr>
  </w:style>
  <w:style w:type="paragraph" w:styleId="2">
    <w:name w:val="Heading 2"/>
    <w:basedOn w:val="Normal"/>
    <w:next w:val="Normal"/>
    <w:link w:val="21"/>
    <w:uiPriority w:val="9"/>
    <w:unhideWhenUsed/>
    <w:qFormat/>
    <w:pPr>
      <w:keepNext w:val="true"/>
      <w:outlineLvl w:val="1"/>
    </w:pPr>
    <w:rPr>
      <w:rFonts w:ascii="Arial" w:hAnsi="Arial" w:eastAsia="ＭＳ ゴシック" w:cs="" w:asciiTheme="majorHAnsi" w:cstheme="majorBidi" w:eastAsiaTheme="majorEastAsia" w:hAnsiTheme="majorHAnsi"/>
    </w:rPr>
  </w:style>
  <w:style w:type="paragraph" w:styleId="3">
    <w:name w:val="Heading 3"/>
    <w:basedOn w:val="Normal"/>
    <w:next w:val="Normal"/>
    <w:link w:val="31"/>
    <w:uiPriority w:val="9"/>
    <w:unhideWhenUsed/>
    <w:qFormat/>
    <w:pPr>
      <w:keepNext w:val="true"/>
      <w:ind w:left="400" w:hanging="0"/>
      <w:outlineLvl w:val="2"/>
    </w:pPr>
    <w:rPr>
      <w:rFonts w:ascii="Arial" w:hAnsi="Arial" w:eastAsia="ＭＳ ゴシック" w:cs="" w:asciiTheme="majorHAnsi" w:cstheme="majorBidi" w:eastAsiaTheme="majorEastAsia" w:hAnsiTheme="majorHAnsi"/>
    </w:rPr>
  </w:style>
  <w:style w:type="paragraph" w:styleId="4">
    <w:name w:val="Heading 4"/>
    <w:basedOn w:val="Normal"/>
    <w:next w:val="Normal"/>
    <w:link w:val="41"/>
    <w:uiPriority w:val="9"/>
    <w:unhideWhenUsed/>
    <w:qFormat/>
    <w:pPr>
      <w:keepNext w:val="true"/>
      <w:ind w:left="400" w:hanging="0"/>
      <w:outlineLvl w:val="3"/>
    </w:pPr>
    <w:rPr>
      <w:b/>
      <w:bCs/>
    </w:rPr>
  </w:style>
  <w:style w:type="paragraph" w:styleId="5">
    <w:name w:val="Heading 5"/>
    <w:basedOn w:val="Normal"/>
    <w:next w:val="Normal"/>
    <w:link w:val="51"/>
    <w:uiPriority w:val="9"/>
    <w:unhideWhenUsed/>
    <w:qFormat/>
    <w:pPr>
      <w:keepNext w:val="true"/>
      <w:ind w:left="800" w:hanging="0"/>
      <w:outlineLvl w:val="4"/>
    </w:pPr>
    <w:rPr>
      <w:rFonts w:ascii="Arial" w:hAnsi="Arial" w:eastAsia="ＭＳ ゴシック" w:cs="" w:asciiTheme="majorHAnsi" w:cstheme="majorBidi" w:eastAsiaTheme="majorEastAsia" w:hAnsiTheme="majorHAnsi"/>
    </w:rPr>
  </w:style>
  <w:style w:type="paragraph" w:styleId="6">
    <w:name w:val="Heading 6"/>
    <w:basedOn w:val="Normal"/>
    <w:next w:val="Normal"/>
    <w:link w:val="61"/>
    <w:uiPriority w:val="9"/>
    <w:unhideWhenUsed/>
    <w:qFormat/>
    <w:pPr>
      <w:keepNext w:val="true"/>
      <w:ind w:left="800" w:hanging="0"/>
      <w:outlineLvl w:val="5"/>
    </w:pPr>
    <w:rPr>
      <w:b/>
      <w:bCs/>
    </w:rPr>
  </w:style>
  <w:style w:type="paragraph" w:styleId="7">
    <w:name w:val="Heading 7"/>
    <w:basedOn w:val="Normal"/>
    <w:next w:val="Normal"/>
    <w:link w:val="71"/>
    <w:uiPriority w:val="9"/>
    <w:unhideWhenUsed/>
    <w:qFormat/>
    <w:pPr>
      <w:keepNext w:val="true"/>
      <w:ind w:left="800" w:hanging="0"/>
      <w:outlineLvl w:val="6"/>
    </w:pPr>
    <w:rPr/>
  </w:style>
  <w:style w:type="paragraph" w:styleId="8">
    <w:name w:val="Heading 8"/>
    <w:basedOn w:val="Normal"/>
    <w:next w:val="Normal"/>
    <w:link w:val="81"/>
    <w:uiPriority w:val="9"/>
    <w:unhideWhenUsed/>
    <w:qFormat/>
    <w:pPr>
      <w:keepNext w:val="true"/>
      <w:ind w:left="1200" w:hanging="0"/>
      <w:outlineLvl w:val="7"/>
    </w:pPr>
    <w:rPr/>
  </w:style>
  <w:style w:type="paragraph" w:styleId="9">
    <w:name w:val="Heading 9"/>
    <w:basedOn w:val="Normal"/>
    <w:next w:val="Normal"/>
    <w:link w:val="91"/>
    <w:uiPriority w:val="9"/>
    <w:unhideWhenUsed/>
    <w:qFormat/>
    <w:pPr>
      <w:keepNext w:val="true"/>
      <w:ind w:left="1200" w:hanging="0"/>
      <w:outlineLvl w:val="8"/>
    </w:pPr>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uiPriority w:val="9"/>
    <w:qFormat/>
    <w:rPr>
      <w:rFonts w:ascii="Arial" w:hAnsi="Arial" w:eastAsia="ＭＳ ゴシック" w:cs="" w:asciiTheme="majorHAnsi" w:cstheme="majorBidi" w:eastAsiaTheme="majorEastAsia" w:hAnsiTheme="majorHAnsi"/>
      <w:sz w:val="24"/>
      <w:szCs w:val="24"/>
    </w:rPr>
  </w:style>
  <w:style w:type="character" w:styleId="21" w:customStyle="1">
    <w:name w:val="見出し 2 (文字)"/>
    <w:basedOn w:val="DefaultParagraphFont"/>
    <w:uiPriority w:val="9"/>
    <w:qFormat/>
    <w:rPr>
      <w:rFonts w:ascii="Arial" w:hAnsi="Arial" w:eastAsia="ＭＳ ゴシック" w:cs="" w:asciiTheme="majorHAnsi" w:cstheme="majorBidi" w:eastAsiaTheme="majorEastAsia" w:hAnsiTheme="majorHAnsi"/>
    </w:rPr>
  </w:style>
  <w:style w:type="character" w:styleId="31" w:customStyle="1">
    <w:name w:val="見出し 3 (文字)"/>
    <w:basedOn w:val="DefaultParagraphFont"/>
    <w:uiPriority w:val="9"/>
    <w:qFormat/>
    <w:rPr>
      <w:rFonts w:ascii="Arial" w:hAnsi="Arial" w:eastAsia="ＭＳ ゴシック" w:cs="" w:asciiTheme="majorHAnsi" w:cstheme="majorBidi" w:eastAsiaTheme="majorEastAsia" w:hAnsiTheme="majorHAnsi"/>
    </w:rPr>
  </w:style>
  <w:style w:type="character" w:styleId="41" w:customStyle="1">
    <w:name w:val="見出し 4 (文字)"/>
    <w:basedOn w:val="DefaultParagraphFont"/>
    <w:uiPriority w:val="9"/>
    <w:qFormat/>
    <w:rPr>
      <w:b/>
      <w:bCs/>
    </w:rPr>
  </w:style>
  <w:style w:type="character" w:styleId="51" w:customStyle="1">
    <w:name w:val="見出し 5 (文字)"/>
    <w:basedOn w:val="DefaultParagraphFont"/>
    <w:uiPriority w:val="9"/>
    <w:qFormat/>
    <w:rPr>
      <w:rFonts w:ascii="Arial" w:hAnsi="Arial" w:eastAsia="ＭＳ ゴシック" w:cs="" w:asciiTheme="majorHAnsi" w:cstheme="majorBidi" w:eastAsiaTheme="majorEastAsia" w:hAnsiTheme="majorHAnsi"/>
    </w:rPr>
  </w:style>
  <w:style w:type="character" w:styleId="61" w:customStyle="1">
    <w:name w:val="見出し 6 (文字)"/>
    <w:basedOn w:val="DefaultParagraphFont"/>
    <w:uiPriority w:val="9"/>
    <w:qFormat/>
    <w:rPr>
      <w:b/>
      <w:bCs/>
    </w:rPr>
  </w:style>
  <w:style w:type="character" w:styleId="71" w:customStyle="1">
    <w:name w:val="見出し 7 (文字)"/>
    <w:basedOn w:val="DefaultParagraphFont"/>
    <w:uiPriority w:val="9"/>
    <w:qFormat/>
    <w:rPr/>
  </w:style>
  <w:style w:type="character" w:styleId="81" w:customStyle="1">
    <w:name w:val="見出し 8 (文字)"/>
    <w:basedOn w:val="DefaultParagraphFont"/>
    <w:uiPriority w:val="9"/>
    <w:qFormat/>
    <w:rPr/>
  </w:style>
  <w:style w:type="character" w:styleId="91" w:customStyle="1">
    <w:name w:val="見出し 9 (文字)"/>
    <w:basedOn w:val="DefaultParagraphFont"/>
    <w:uiPriority w:val="9"/>
    <w:qFormat/>
    <w:rPr/>
  </w:style>
  <w:style w:type="character" w:styleId="Style5" w:customStyle="1">
    <w:name w:val="表題 (文字)"/>
    <w:basedOn w:val="DefaultParagraphFont"/>
    <w:uiPriority w:val="10"/>
    <w:qFormat/>
    <w:rPr>
      <w:rFonts w:ascii="Arial" w:hAnsi="Arial" w:eastAsia="ＭＳ ゴシック" w:cs="" w:asciiTheme="majorHAnsi" w:cstheme="majorBidi" w:hAnsiTheme="majorHAnsi"/>
      <w:sz w:val="32"/>
      <w:szCs w:val="32"/>
    </w:rPr>
  </w:style>
  <w:style w:type="character" w:styleId="Style6" w:customStyle="1">
    <w:name w:val="副題 (文字)"/>
    <w:basedOn w:val="DefaultParagraphFont"/>
    <w:uiPriority w:val="11"/>
    <w:qFormat/>
    <w:rPr>
      <w:rFonts w:ascii="Arial" w:hAnsi="Arial" w:eastAsia="ＭＳ ゴシック" w:cs="" w:asciiTheme="majorHAnsi" w:cstheme="majorBidi" w:hAnsiTheme="majorHAnsi"/>
      <w:sz w:val="24"/>
      <w:szCs w:val="24"/>
    </w:rPr>
  </w:style>
  <w:style w:type="character" w:styleId="SubtleEmphasis">
    <w:name w:val="Subtle Emphasis"/>
    <w:basedOn w:val="DefaultParagraphFont"/>
    <w:uiPriority w:val="19"/>
    <w:qFormat/>
    <w:rPr>
      <w:i/>
      <w:iCs/>
      <w:color w:val="808080" w:themeColor="text1" w:themeTint="7f"/>
    </w:rPr>
  </w:style>
  <w:style w:type="character" w:styleId="Style7">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character" w:styleId="Style8" w:customStyle="1">
    <w:name w:val="引用文 (文字)"/>
    <w:basedOn w:val="DefaultParagraphFont"/>
    <w:link w:val="Quote"/>
    <w:uiPriority w:val="29"/>
    <w:qFormat/>
    <w:rPr>
      <w:i/>
      <w:iCs/>
      <w:color w:val="000000" w:themeColor="text1"/>
    </w:rPr>
  </w:style>
  <w:style w:type="character" w:styleId="22" w:customStyle="1">
    <w:name w:val="引用文 2 (文字)"/>
    <w:basedOn w:val="DefaultParagraphFont"/>
    <w:link w:val="IntenseQuote"/>
    <w:uiPriority w:val="30"/>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character" w:styleId="Style9">
    <w:name w:val="Hyperlink"/>
    <w:basedOn w:val="DefaultParagraphFont"/>
    <w:uiPriority w:val="99"/>
    <w:unhideWhenUsed/>
    <w:rPr>
      <w:color w:val="0000FF" w:themeColor="hyperlink"/>
      <w:u w:val="single"/>
    </w:rPr>
  </w:style>
  <w:style w:type="character" w:styleId="Style10">
    <w:name w:val="FollowedHyperlink"/>
    <w:basedOn w:val="DefaultParagraphFont"/>
    <w:uiPriority w:val="99"/>
    <w:unhideWhenUsed/>
    <w:rPr>
      <w:color w:val="800080" w:themeColor="followedHyperlink"/>
      <w:u w:val="single"/>
    </w:rPr>
  </w:style>
  <w:style w:type="character" w:styleId="Style11" w:customStyle="1">
    <w:name w:val="ヘッダー (文字)"/>
    <w:basedOn w:val="DefaultParagraphFont"/>
    <w:uiPriority w:val="99"/>
    <w:qFormat/>
    <w:rsid w:val="00d50218"/>
    <w:rPr/>
  </w:style>
  <w:style w:type="character" w:styleId="Style12" w:customStyle="1">
    <w:name w:val="フッター (文字)"/>
    <w:basedOn w:val="DefaultParagraphFont"/>
    <w:uiPriority w:val="99"/>
    <w:qFormat/>
    <w:rsid w:val="00d50218"/>
    <w:rPr/>
  </w:style>
  <w:style w:type="character" w:styleId="Style13" w:customStyle="1">
    <w:name w:val="吹き出し (文字)"/>
    <w:basedOn w:val="DefaultParagraphFont"/>
    <w:link w:val="BalloonText"/>
    <w:uiPriority w:val="99"/>
    <w:semiHidden/>
    <w:qFormat/>
    <w:rsid w:val="00223774"/>
    <w:rPr>
      <w:rFonts w:ascii="Arial" w:hAnsi="Arial" w:eastAsia="ＭＳ ゴシック" w:cs="" w:asciiTheme="majorHAnsi" w:cstheme="majorBidi" w:eastAsiaTheme="majorEastAsia" w:hAnsiTheme="majorHAnsi"/>
      <w:sz w:val="18"/>
      <w:szCs w:val="18"/>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name w:val="Title"/>
    <w:basedOn w:val="Normal"/>
    <w:next w:val="Normal"/>
    <w:link w:val="Style5"/>
    <w:uiPriority w:val="10"/>
    <w:qFormat/>
    <w:pPr>
      <w:spacing w:before="240" w:after="120"/>
      <w:jc w:val="center"/>
      <w:outlineLvl w:val="0"/>
    </w:pPr>
    <w:rPr>
      <w:rFonts w:ascii="Arial" w:hAnsi="Arial" w:eastAsia="ＭＳ ゴシック" w:cs="" w:asciiTheme="majorHAnsi" w:cstheme="majorBidi" w:hAnsiTheme="majorHAnsi"/>
      <w:sz w:val="32"/>
      <w:szCs w:val="32"/>
    </w:rPr>
  </w:style>
  <w:style w:type="paragraph" w:styleId="Style20">
    <w:name w:val="Subtitle"/>
    <w:basedOn w:val="Normal"/>
    <w:next w:val="Normal"/>
    <w:link w:val="Style6"/>
    <w:uiPriority w:val="11"/>
    <w:qFormat/>
    <w:pPr>
      <w:jc w:val="center"/>
      <w:outlineLvl w:val="1"/>
    </w:pPr>
    <w:rPr>
      <w:rFonts w:ascii="Arial" w:hAnsi="Arial" w:eastAsia="ＭＳ ゴシック" w:cs="" w:asciiTheme="majorHAnsi" w:cstheme="majorBidi" w:hAnsiTheme="majorHAnsi"/>
      <w:sz w:val="24"/>
      <w:szCs w:val="24"/>
    </w:rPr>
  </w:style>
  <w:style w:type="paragraph" w:styleId="Quote">
    <w:name w:val="Quote"/>
    <w:basedOn w:val="Normal"/>
    <w:next w:val="Normal"/>
    <w:link w:val="Style8"/>
    <w:uiPriority w:val="29"/>
    <w:qFormat/>
    <w:pPr/>
    <w:rPr>
      <w:i/>
      <w:iCs/>
      <w:color w:val="000000" w:themeColor="text1"/>
    </w:rPr>
  </w:style>
  <w:style w:type="paragraph" w:styleId="IntenseQuote">
    <w:name w:val="Intense Quote"/>
    <w:basedOn w:val="Normal"/>
    <w:next w:val="Normal"/>
    <w:link w:val="22"/>
    <w:uiPriority w:val="30"/>
    <w:qFormat/>
    <w:pPr>
      <w:pBdr>
        <w:bottom w:val="single" w:sz="4" w:space="4" w:color="4F81BD"/>
      </w:pBdr>
      <w:spacing w:before="200" w:after="280"/>
      <w:ind w:left="936" w:right="936" w:hanging="0"/>
    </w:pPr>
    <w:rPr>
      <w:b/>
      <w:bCs/>
      <w:i/>
      <w:iCs/>
      <w:color w:val="4F81BD" w:themeColor="accent1"/>
    </w:rPr>
  </w:style>
  <w:style w:type="paragraph" w:styleId="ListParagraph">
    <w:name w:val="List Paragraph"/>
    <w:basedOn w:val="Normal"/>
    <w:uiPriority w:val="34"/>
    <w:qFormat/>
    <w:pPr>
      <w:ind w:left="840" w:hanging="0"/>
    </w:pPr>
    <w:rPr/>
  </w:style>
  <w:style w:type="paragraph" w:styleId="Style21">
    <w:name w:val="ヘッダーとフッター"/>
    <w:basedOn w:val="Normal"/>
    <w:qFormat/>
    <w:pPr/>
    <w:rPr/>
  </w:style>
  <w:style w:type="paragraph" w:styleId="Style22">
    <w:name w:val="Header"/>
    <w:basedOn w:val="Normal"/>
    <w:link w:val="Style11"/>
    <w:uiPriority w:val="99"/>
    <w:unhideWhenUsed/>
    <w:rsid w:val="00d50218"/>
    <w:pPr>
      <w:tabs>
        <w:tab w:val="clear" w:pos="840"/>
        <w:tab w:val="center" w:pos="4252" w:leader="none"/>
        <w:tab w:val="right" w:pos="8504" w:leader="none"/>
      </w:tabs>
      <w:snapToGrid w:val="false"/>
    </w:pPr>
    <w:rPr/>
  </w:style>
  <w:style w:type="paragraph" w:styleId="Style23">
    <w:name w:val="Footer"/>
    <w:basedOn w:val="Normal"/>
    <w:link w:val="Style12"/>
    <w:uiPriority w:val="99"/>
    <w:unhideWhenUsed/>
    <w:rsid w:val="00d50218"/>
    <w:pPr>
      <w:tabs>
        <w:tab w:val="clear" w:pos="840"/>
        <w:tab w:val="center" w:pos="4252" w:leader="none"/>
        <w:tab w:val="right" w:pos="8504" w:leader="none"/>
      </w:tabs>
      <w:snapToGrid w:val="false"/>
    </w:pPr>
    <w:rPr/>
  </w:style>
  <w:style w:type="paragraph" w:styleId="BalloonText">
    <w:name w:val="Balloon Text"/>
    <w:basedOn w:val="Normal"/>
    <w:link w:val="Style13"/>
    <w:uiPriority w:val="99"/>
    <w:semiHidden/>
    <w:unhideWhenUsed/>
    <w:qFormat/>
    <w:rsid w:val="00223774"/>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1">
    <w:name w:val="Table Grid"/>
    <w:basedOn w:val="a1"/>
    <w:uiPriority w:val="59"/>
    <w:rsid w:val="00646b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8574D-FC4E-4A8E-88C2-9DB48406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TotalTime>
  <Application>LibreOffice/7.4.7.2$Windows_X86_64 LibreOffice_project/723314e595e8007d3cf785c16538505a1c878ca5</Application>
  <AppVersion>15.0000</AppVersion>
  <Pages>6</Pages>
  <Words>4281</Words>
  <Characters>4396</Characters>
  <CharactersWithSpaces>4462</CharactersWithSpaces>
  <Paragraphs>130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2023-06-13T00:30:00Z</dcterms:created>
  <dc:creator>0295</dc:creator>
  <dc:description/>
  <dc:language>ja-JP</dc:language>
  <cp:lastModifiedBy/>
  <cp:lastPrinted>2023-03-03T05:09:00Z</cp:lastPrinted>
  <dcterms:modified xsi:type="dcterms:W3CDTF">2023-06-13T09:57:41Z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